
<file path=[Content_Types].xml><?xml version="1.0" encoding="utf-8"?>
<Types xmlns="http://schemas.openxmlformats.org/package/2006/content-types">
  <Default Extension="xml" ContentType="application/xml"/>
  <Default Extension="xls" ContentType="application/vnd.ms-excel"/>
  <Default Extension="png" ContentType="image/pn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方正小标宋简体" w:hAnsi="方正小标宋简体" w:eastAsia="方正小标宋简体" w:cs="方正小标宋简体"/>
          <w:sz w:val="72"/>
          <w:szCs w:val="72"/>
        </w:rPr>
      </w:pPr>
      <w:bookmarkStart w:id="0" w:name="_Toc15378441"/>
      <w:bookmarkStart w:id="1" w:name="_Toc15377425"/>
      <w:bookmarkStart w:id="2" w:name="_Toc15396475"/>
      <w:bookmarkStart w:id="3" w:name="_Toc15377193"/>
      <w:bookmarkStart w:id="4" w:name="_Toc15396597"/>
    </w:p>
    <w:p>
      <w:pPr>
        <w:adjustRightInd w:val="0"/>
        <w:snapToGrid w:val="0"/>
        <w:spacing w:line="360" w:lineRule="auto"/>
        <w:jc w:val="center"/>
        <w:rPr>
          <w:rFonts w:ascii="方正小标宋简体" w:hAnsi="方正小标宋简体" w:eastAsia="方正小标宋简体" w:cs="方正小标宋简体"/>
          <w:sz w:val="72"/>
          <w:szCs w:val="72"/>
        </w:rPr>
      </w:pPr>
    </w:p>
    <w:p>
      <w:pPr>
        <w:adjustRightInd w:val="0"/>
        <w:snapToGrid w:val="0"/>
        <w:spacing w:line="360" w:lineRule="auto"/>
        <w:jc w:val="center"/>
        <w:rPr>
          <w:rFonts w:ascii="方正小标宋简体" w:hAnsi="方正小标宋简体" w:eastAsia="方正小标宋简体" w:cs="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5" w:name="_Toc24582"/>
      <w:r>
        <w:rPr>
          <w:rFonts w:hint="eastAsia" w:ascii="方正小标宋简体" w:hAnsi="方正小标宋简体" w:eastAsia="方正小标宋简体" w:cs="方正小标宋简体"/>
          <w:sz w:val="72"/>
          <w:szCs w:val="72"/>
        </w:rPr>
        <w:t>2021年度</w:t>
      </w:r>
      <w:bookmarkEnd w:id="0"/>
      <w:bookmarkEnd w:id="1"/>
      <w:bookmarkEnd w:id="2"/>
      <w:bookmarkEnd w:id="3"/>
      <w:bookmarkEnd w:id="4"/>
      <w:bookmarkEnd w:id="5"/>
    </w:p>
    <w:p>
      <w:pPr>
        <w:adjustRightInd w:val="0"/>
        <w:snapToGrid w:val="0"/>
        <w:spacing w:line="360" w:lineRule="auto"/>
        <w:jc w:val="center"/>
        <w:outlineLvl w:val="0"/>
        <w:rPr>
          <w:rFonts w:ascii="方正小标宋简体" w:hAnsi="宋体" w:eastAsia="方正小标宋简体"/>
          <w:color w:val="000000"/>
          <w:sz w:val="72"/>
          <w:szCs w:val="72"/>
        </w:rPr>
      </w:pPr>
      <w:bookmarkStart w:id="6" w:name="_Toc7576"/>
      <w:bookmarkStart w:id="7" w:name="_Toc15377194"/>
      <w:bookmarkStart w:id="8" w:name="_Toc15396476"/>
      <w:bookmarkStart w:id="9" w:name="_Toc15306268"/>
      <w:bookmarkStart w:id="10" w:name="_Toc15378442"/>
      <w:bookmarkStart w:id="11" w:name="_Toc15377426"/>
      <w:bookmarkStart w:id="12" w:name="_Toc15396598"/>
      <w:r>
        <w:rPr>
          <w:rFonts w:hint="eastAsia" w:ascii="方正小标宋简体" w:hAnsi="宋体" w:eastAsia="方正小标宋简体"/>
          <w:color w:val="000000"/>
          <w:sz w:val="72"/>
          <w:szCs w:val="72"/>
        </w:rPr>
        <w:t>通江县烟溪镇中心小学</w:t>
      </w:r>
      <w:bookmarkEnd w:id="6"/>
    </w:p>
    <w:p>
      <w:pPr>
        <w:adjustRightInd w:val="0"/>
        <w:snapToGrid w:val="0"/>
        <w:spacing w:line="360" w:lineRule="auto"/>
        <w:jc w:val="center"/>
        <w:outlineLvl w:val="0"/>
        <w:rPr>
          <w:rFonts w:ascii="方正小标宋简体" w:hAnsi="宋体" w:eastAsia="方正小标宋简体"/>
          <w:color w:val="000000"/>
          <w:sz w:val="72"/>
          <w:szCs w:val="72"/>
        </w:rPr>
      </w:pPr>
      <w:bookmarkStart w:id="13" w:name="_Toc18196"/>
      <w:r>
        <w:rPr>
          <w:rFonts w:hint="eastAsia" w:ascii="方正小标宋简体" w:hAnsi="宋体" w:eastAsia="方正小标宋简体"/>
          <w:color w:val="000000"/>
          <w:sz w:val="72"/>
          <w:szCs w:val="72"/>
        </w:rPr>
        <w:t>单位决算</w:t>
      </w:r>
      <w:bookmarkEnd w:id="7"/>
      <w:bookmarkEnd w:id="8"/>
      <w:bookmarkEnd w:id="9"/>
      <w:bookmarkEnd w:id="10"/>
      <w:bookmarkEnd w:id="11"/>
      <w:bookmarkEnd w:id="12"/>
      <w:bookmarkEnd w:id="13"/>
    </w:p>
    <w:p>
      <w:pPr>
        <w:widowControl/>
        <w:jc w:val="center"/>
        <w:rPr>
          <w:rFonts w:ascii="黑体" w:hAnsi="黑体" w:eastAsia="黑体"/>
          <w:sz w:val="48"/>
          <w:szCs w:val="48"/>
        </w:rPr>
        <w:sectPr>
          <w:pgSz w:w="11906" w:h="16838"/>
          <w:pgMar w:top="873" w:right="1800" w:bottom="873" w:left="1800" w:header="851" w:footer="992" w:gutter="0"/>
          <w:cols w:space="720" w:num="1"/>
          <w:docGrid w:type="lines" w:linePitch="312" w:charSpace="0"/>
        </w:sectPr>
      </w:pPr>
    </w:p>
    <w:p>
      <w:pPr>
        <w:widowControl/>
        <w:jc w:val="center"/>
        <w:rPr>
          <w:rFonts w:ascii="黑体" w:hAnsi="黑体" w:eastAsia="黑体"/>
          <w:sz w:val="48"/>
          <w:szCs w:val="48"/>
        </w:rPr>
      </w:pPr>
      <w:r>
        <w:rPr>
          <w:rFonts w:hint="eastAsia" w:ascii="黑体" w:hAnsi="黑体" w:eastAsia="黑体"/>
          <w:sz w:val="48"/>
          <w:szCs w:val="48"/>
        </w:rPr>
        <w:t>目录</w:t>
      </w:r>
    </w:p>
    <w:p>
      <w:pPr>
        <w:pStyle w:val="25"/>
      </w:pPr>
      <w:r>
        <w:rPr>
          <w:rFonts w:hint="eastAsia"/>
        </w:rPr>
        <w:t>公开时间：2022年8月25日</w:t>
      </w:r>
    </w:p>
    <w:p>
      <w:pPr>
        <w:pStyle w:val="28"/>
        <w:tabs>
          <w:tab w:val="right" w:leader="dot" w:pos="8306"/>
        </w:tabs>
        <w:rPr>
          <w:b/>
        </w:rPr>
      </w:pPr>
      <w:bookmarkStart w:id="14" w:name="_Toc15396599"/>
      <w:bookmarkStart w:id="15" w:name="_Toc15377196"/>
      <w:r>
        <w:fldChar w:fldCharType="begin"/>
      </w:r>
      <w:r>
        <w:instrText xml:space="preserve">TOC \o "1-2" \h \u</w:instrText>
      </w:r>
      <w:r>
        <w:fldChar w:fldCharType="separate"/>
      </w:r>
    </w:p>
    <w:p>
      <w:pPr>
        <w:pStyle w:val="28"/>
        <w:tabs>
          <w:tab w:val="right" w:leader="dot" w:pos="8306"/>
        </w:tabs>
        <w:rPr>
          <w:b/>
        </w:rPr>
      </w:pPr>
      <w:r>
        <w:fldChar w:fldCharType="begin"/>
      </w:r>
      <w:r>
        <w:instrText xml:space="preserve"> HYPERLINK \l "_Toc26356" </w:instrText>
      </w:r>
      <w:r>
        <w:fldChar w:fldCharType="separate"/>
      </w:r>
      <w:r>
        <w:rPr>
          <w:rFonts w:hint="eastAsia" w:ascii="黑体" w:hAnsi="黑体" w:eastAsia="黑体"/>
          <w:b/>
        </w:rPr>
        <w:t>第一部分单位概况</w:t>
      </w:r>
      <w:r>
        <w:rPr>
          <w:b/>
        </w:rPr>
        <w:tab/>
      </w:r>
      <w:r>
        <w:rPr>
          <w:b/>
        </w:rPr>
        <w:fldChar w:fldCharType="begin"/>
      </w:r>
      <w:r>
        <w:rPr>
          <w:b/>
        </w:rPr>
        <w:instrText xml:space="preserve"> PAGEREF _Toc26356 </w:instrText>
      </w:r>
      <w:r>
        <w:rPr>
          <w:b/>
        </w:rPr>
        <w:fldChar w:fldCharType="separate"/>
      </w:r>
      <w:r>
        <w:rPr>
          <w:b/>
        </w:rPr>
        <w:t>1</w:t>
      </w:r>
      <w:r>
        <w:rPr>
          <w:b/>
        </w:rPr>
        <w:fldChar w:fldCharType="end"/>
      </w:r>
      <w:r>
        <w:rPr>
          <w:b/>
        </w:rPr>
        <w:fldChar w:fldCharType="end"/>
      </w:r>
    </w:p>
    <w:p>
      <w:pPr>
        <w:pStyle w:val="29"/>
        <w:tabs>
          <w:tab w:val="right" w:leader="dot" w:pos="8306"/>
        </w:tabs>
        <w:ind w:left="420"/>
      </w:pPr>
      <w:r>
        <w:fldChar w:fldCharType="begin"/>
      </w:r>
      <w:r>
        <w:instrText xml:space="preserve"> HYPERLINK \l "_Toc10632" </w:instrText>
      </w:r>
      <w:r>
        <w:fldChar w:fldCharType="separate"/>
      </w:r>
      <w:r>
        <w:rPr>
          <w:rFonts w:hint="eastAsia" w:ascii="黑体" w:hAnsi="黑体" w:eastAsia="黑体"/>
        </w:rPr>
        <w:t>一、职能简介</w:t>
      </w:r>
      <w:r>
        <w:tab/>
      </w:r>
      <w:r>
        <w:fldChar w:fldCharType="begin"/>
      </w:r>
      <w:r>
        <w:instrText xml:space="preserve"> PAGEREF _Toc10632 </w:instrText>
      </w:r>
      <w:r>
        <w:fldChar w:fldCharType="separate"/>
      </w:r>
      <w:r>
        <w:t>1</w:t>
      </w:r>
      <w:r>
        <w:fldChar w:fldCharType="end"/>
      </w:r>
      <w:r>
        <w:fldChar w:fldCharType="end"/>
      </w:r>
    </w:p>
    <w:p>
      <w:pPr>
        <w:pStyle w:val="29"/>
        <w:tabs>
          <w:tab w:val="right" w:leader="dot" w:pos="8306"/>
        </w:tabs>
        <w:ind w:left="420"/>
      </w:pPr>
      <w:r>
        <w:fldChar w:fldCharType="begin"/>
      </w:r>
      <w:r>
        <w:instrText xml:space="preserve"> HYPERLINK \l "_Toc21920" </w:instrText>
      </w:r>
      <w:r>
        <w:fldChar w:fldCharType="separate"/>
      </w:r>
      <w:r>
        <w:rPr>
          <w:rFonts w:hint="eastAsia" w:ascii="黑体" w:hAnsi="黑体" w:eastAsia="黑体"/>
        </w:rPr>
        <w:t>二、2021年重点工作完成情况</w:t>
      </w:r>
      <w:r>
        <w:tab/>
      </w:r>
      <w:r>
        <w:fldChar w:fldCharType="begin"/>
      </w:r>
      <w:r>
        <w:instrText xml:space="preserve"> PAGEREF _Toc21920 </w:instrText>
      </w:r>
      <w:r>
        <w:fldChar w:fldCharType="separate"/>
      </w:r>
      <w:r>
        <w:t>1</w:t>
      </w:r>
      <w:r>
        <w:fldChar w:fldCharType="end"/>
      </w:r>
      <w:r>
        <w:fldChar w:fldCharType="end"/>
      </w:r>
    </w:p>
    <w:p>
      <w:pPr>
        <w:pStyle w:val="28"/>
        <w:tabs>
          <w:tab w:val="right" w:leader="dot" w:pos="8306"/>
        </w:tabs>
        <w:rPr>
          <w:b/>
        </w:rPr>
      </w:pPr>
      <w:r>
        <w:fldChar w:fldCharType="begin"/>
      </w:r>
      <w:r>
        <w:instrText xml:space="preserve"> HYPERLINK \l "_Toc9867" </w:instrText>
      </w:r>
      <w:r>
        <w:fldChar w:fldCharType="separate"/>
      </w:r>
      <w:r>
        <w:rPr>
          <w:rFonts w:hint="eastAsia" w:ascii="黑体" w:hAnsi="黑体" w:eastAsia="黑体"/>
          <w:b/>
        </w:rPr>
        <w:t>第二部分 2021年度</w:t>
      </w:r>
      <w:r>
        <w:rPr>
          <w:rFonts w:hint="eastAsia" w:ascii="黑体" w:hAnsi="黑体" w:eastAsia="黑体"/>
          <w:b/>
          <w:bCs/>
        </w:rPr>
        <w:t>单位决算情况说明</w:t>
      </w:r>
      <w:r>
        <w:rPr>
          <w:b/>
        </w:rPr>
        <w:tab/>
      </w:r>
      <w:r>
        <w:rPr>
          <w:b/>
        </w:rPr>
        <w:fldChar w:fldCharType="begin"/>
      </w:r>
      <w:r>
        <w:rPr>
          <w:b/>
        </w:rPr>
        <w:instrText xml:space="preserve"> PAGEREF _Toc9867 </w:instrText>
      </w:r>
      <w:r>
        <w:rPr>
          <w:b/>
        </w:rPr>
        <w:fldChar w:fldCharType="separate"/>
      </w:r>
      <w:r>
        <w:rPr>
          <w:b/>
        </w:rPr>
        <w:t>2</w:t>
      </w:r>
      <w:r>
        <w:rPr>
          <w:b/>
        </w:rPr>
        <w:fldChar w:fldCharType="end"/>
      </w:r>
      <w:r>
        <w:rPr>
          <w:b/>
        </w:rPr>
        <w:fldChar w:fldCharType="end"/>
      </w:r>
    </w:p>
    <w:p>
      <w:pPr>
        <w:pStyle w:val="29"/>
        <w:tabs>
          <w:tab w:val="right" w:leader="dot" w:pos="8306"/>
        </w:tabs>
        <w:ind w:left="420"/>
      </w:pPr>
      <w:r>
        <w:fldChar w:fldCharType="begin"/>
      </w:r>
      <w:r>
        <w:instrText xml:space="preserve"> HYPERLINK \l "_Toc25121" </w:instrText>
      </w:r>
      <w:r>
        <w:fldChar w:fldCharType="separate"/>
      </w:r>
      <w:r>
        <w:rPr>
          <w:rFonts w:hint="eastAsia" w:ascii="黑体" w:hAnsi="黑体" w:eastAsia="黑体"/>
          <w:bCs/>
        </w:rPr>
        <w:t>一、</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_Toc25121 </w:instrText>
      </w:r>
      <w:r>
        <w:fldChar w:fldCharType="separate"/>
      </w:r>
      <w:r>
        <w:t>2</w:t>
      </w:r>
      <w:r>
        <w:fldChar w:fldCharType="end"/>
      </w:r>
      <w:r>
        <w:fldChar w:fldCharType="end"/>
      </w:r>
    </w:p>
    <w:p>
      <w:pPr>
        <w:pStyle w:val="29"/>
        <w:tabs>
          <w:tab w:val="right" w:leader="dot" w:pos="8306"/>
        </w:tabs>
        <w:ind w:left="420"/>
      </w:pPr>
      <w:r>
        <w:fldChar w:fldCharType="begin"/>
      </w:r>
      <w:r>
        <w:instrText xml:space="preserve"> HYPERLINK \l "_Toc23176" </w:instrText>
      </w:r>
      <w:r>
        <w:fldChar w:fldCharType="separate"/>
      </w:r>
      <w:r>
        <w:rPr>
          <w:rFonts w:hint="eastAsia"/>
          <w:bCs/>
        </w:rPr>
        <w:t>二、收入决算情况说明</w:t>
      </w:r>
      <w:r>
        <w:tab/>
      </w:r>
      <w:r>
        <w:fldChar w:fldCharType="begin"/>
      </w:r>
      <w:r>
        <w:instrText xml:space="preserve"> PAGEREF _Toc23176 </w:instrText>
      </w:r>
      <w:r>
        <w:fldChar w:fldCharType="separate"/>
      </w:r>
      <w:r>
        <w:t>2</w:t>
      </w:r>
      <w:r>
        <w:fldChar w:fldCharType="end"/>
      </w:r>
      <w:r>
        <w:fldChar w:fldCharType="end"/>
      </w:r>
    </w:p>
    <w:p>
      <w:pPr>
        <w:pStyle w:val="29"/>
        <w:tabs>
          <w:tab w:val="right" w:leader="dot" w:pos="8306"/>
        </w:tabs>
        <w:ind w:left="420"/>
      </w:pPr>
      <w:r>
        <w:fldChar w:fldCharType="begin"/>
      </w:r>
      <w:r>
        <w:instrText xml:space="preserve"> HYPERLINK \l "_Toc3403" </w:instrText>
      </w:r>
      <w:r>
        <w:fldChar w:fldCharType="separate"/>
      </w:r>
      <w:r>
        <w:rPr>
          <w:rFonts w:hint="eastAsia"/>
          <w:bCs/>
        </w:rPr>
        <w:t>三、支出决算情况说明</w:t>
      </w:r>
      <w:r>
        <w:tab/>
      </w:r>
      <w:r>
        <w:fldChar w:fldCharType="begin"/>
      </w:r>
      <w:r>
        <w:instrText xml:space="preserve"> PAGEREF _Toc3403 </w:instrText>
      </w:r>
      <w:r>
        <w:fldChar w:fldCharType="separate"/>
      </w:r>
      <w:r>
        <w:t>3</w:t>
      </w:r>
      <w:r>
        <w:fldChar w:fldCharType="end"/>
      </w:r>
      <w:r>
        <w:fldChar w:fldCharType="end"/>
      </w:r>
    </w:p>
    <w:p>
      <w:pPr>
        <w:pStyle w:val="29"/>
        <w:tabs>
          <w:tab w:val="right" w:leader="dot" w:pos="8306"/>
        </w:tabs>
        <w:ind w:left="420"/>
      </w:pPr>
      <w:r>
        <w:fldChar w:fldCharType="begin"/>
      </w:r>
      <w:r>
        <w:instrText xml:space="preserve"> HYPERLINK \l "_Toc2255" </w:instrText>
      </w:r>
      <w:r>
        <w:fldChar w:fldCharType="separate"/>
      </w:r>
      <w:r>
        <w:rPr>
          <w:rFonts w:hint="eastAsia" w:ascii="宋体" w:hAnsi="宋体" w:cs="宋体"/>
          <w:szCs w:val="32"/>
        </w:rPr>
        <w:t>四、一</w:t>
      </w:r>
      <w:r>
        <w:rPr>
          <w:rFonts w:hint="eastAsia" w:ascii="宋体" w:hAnsi="宋体" w:cs="宋体"/>
        </w:rPr>
        <w:t>般公共预算财政拨款支出决算情况说明</w:t>
      </w:r>
      <w:r>
        <w:tab/>
      </w:r>
      <w:r>
        <w:fldChar w:fldCharType="begin"/>
      </w:r>
      <w:r>
        <w:instrText xml:space="preserve"> PAGEREF _Toc2255 </w:instrText>
      </w:r>
      <w:r>
        <w:fldChar w:fldCharType="separate"/>
      </w:r>
      <w:r>
        <w:t>4</w:t>
      </w:r>
      <w:r>
        <w:fldChar w:fldCharType="end"/>
      </w:r>
      <w:r>
        <w:fldChar w:fldCharType="end"/>
      </w:r>
    </w:p>
    <w:p>
      <w:pPr>
        <w:pStyle w:val="29"/>
        <w:tabs>
          <w:tab w:val="right" w:leader="dot" w:pos="8306"/>
        </w:tabs>
        <w:ind w:left="420"/>
      </w:pPr>
      <w:r>
        <w:fldChar w:fldCharType="begin"/>
      </w:r>
      <w:r>
        <w:instrText xml:space="preserve"> HYPERLINK \l "_Toc25547" </w:instrText>
      </w:r>
      <w:r>
        <w:fldChar w:fldCharType="separate"/>
      </w:r>
      <w:r>
        <w:rPr>
          <w:rFonts w:hint="eastAsia" w:ascii="黑体" w:hAnsi="黑体" w:eastAsia="黑体"/>
          <w:bCs/>
          <w:szCs w:val="32"/>
        </w:rPr>
        <w:t>五、一</w:t>
      </w:r>
      <w:r>
        <w:rPr>
          <w:rFonts w:hint="eastAsia" w:ascii="黑体" w:hAnsi="黑体" w:eastAsia="黑体"/>
          <w:bCs/>
        </w:rPr>
        <w:t>般公共预算财政拨款支出决算情况说明</w:t>
      </w:r>
      <w:r>
        <w:tab/>
      </w:r>
      <w:r>
        <w:fldChar w:fldCharType="begin"/>
      </w:r>
      <w:r>
        <w:instrText xml:space="preserve"> PAGEREF _Toc25547 </w:instrText>
      </w:r>
      <w:r>
        <w:fldChar w:fldCharType="separate"/>
      </w:r>
      <w:r>
        <w:t>4</w:t>
      </w:r>
      <w:r>
        <w:fldChar w:fldCharType="end"/>
      </w:r>
      <w:r>
        <w:fldChar w:fldCharType="end"/>
      </w:r>
    </w:p>
    <w:p>
      <w:pPr>
        <w:pStyle w:val="29"/>
        <w:tabs>
          <w:tab w:val="right" w:leader="dot" w:pos="8306"/>
        </w:tabs>
        <w:ind w:left="420"/>
      </w:pPr>
      <w:r>
        <w:fldChar w:fldCharType="begin"/>
      </w:r>
      <w:r>
        <w:instrText xml:space="preserve"> HYPERLINK \l "_Toc16002" </w:instrText>
      </w:r>
      <w:r>
        <w:fldChar w:fldCharType="separate"/>
      </w:r>
      <w:r>
        <w:rPr>
          <w:rFonts w:hint="eastAsia" w:ascii="宋体" w:hAnsi="宋体" w:cs="宋体"/>
        </w:rPr>
        <w:t>六、一般公共预算财政拨款基本支出决算情况说明</w:t>
      </w:r>
      <w:r>
        <w:tab/>
      </w:r>
      <w:r>
        <w:fldChar w:fldCharType="begin"/>
      </w:r>
      <w:r>
        <w:instrText xml:space="preserve"> PAGEREF _Toc16002 </w:instrText>
      </w:r>
      <w:r>
        <w:fldChar w:fldCharType="separate"/>
      </w:r>
      <w:r>
        <w:t>6</w:t>
      </w:r>
      <w:r>
        <w:fldChar w:fldCharType="end"/>
      </w:r>
      <w:r>
        <w:fldChar w:fldCharType="end"/>
      </w:r>
    </w:p>
    <w:p>
      <w:pPr>
        <w:pStyle w:val="29"/>
        <w:tabs>
          <w:tab w:val="right" w:leader="dot" w:pos="8306"/>
        </w:tabs>
        <w:ind w:left="420"/>
      </w:pPr>
      <w:r>
        <w:fldChar w:fldCharType="begin"/>
      </w:r>
      <w:r>
        <w:instrText xml:space="preserve"> HYPERLINK \l "_Toc16855" </w:instrText>
      </w:r>
      <w:r>
        <w:fldChar w:fldCharType="separate"/>
      </w:r>
      <w:r>
        <w:rPr>
          <w:rFonts w:hint="eastAsia" w:ascii="宋体" w:hAnsi="宋体" w:cs="宋体"/>
        </w:rPr>
        <w:t>七、“三公”经费财政拨款支出决算情况说明</w:t>
      </w:r>
      <w:r>
        <w:tab/>
      </w:r>
      <w:r>
        <w:fldChar w:fldCharType="begin"/>
      </w:r>
      <w:r>
        <w:instrText xml:space="preserve"> PAGEREF _Toc16855 </w:instrText>
      </w:r>
      <w:r>
        <w:fldChar w:fldCharType="separate"/>
      </w:r>
      <w:r>
        <w:t>7</w:t>
      </w:r>
      <w:r>
        <w:fldChar w:fldCharType="end"/>
      </w:r>
      <w:r>
        <w:fldChar w:fldCharType="end"/>
      </w:r>
    </w:p>
    <w:p>
      <w:pPr>
        <w:pStyle w:val="29"/>
        <w:tabs>
          <w:tab w:val="right" w:leader="dot" w:pos="8306"/>
        </w:tabs>
        <w:ind w:left="420"/>
      </w:pPr>
      <w:r>
        <w:fldChar w:fldCharType="begin"/>
      </w:r>
      <w:r>
        <w:instrText xml:space="preserve"> HYPERLINK \l "_Toc12495" </w:instrText>
      </w:r>
      <w:r>
        <w:fldChar w:fldCharType="separate"/>
      </w:r>
      <w:r>
        <w:rPr>
          <w:rFonts w:ascii="宋体" w:hAnsi="宋体" w:cs="宋体"/>
        </w:rPr>
        <w:t>八、政府性基金预算支出决算情况说明</w:t>
      </w:r>
      <w:r>
        <w:tab/>
      </w:r>
      <w:r>
        <w:fldChar w:fldCharType="begin"/>
      </w:r>
      <w:r>
        <w:instrText xml:space="preserve"> PAGEREF _Toc12495 </w:instrText>
      </w:r>
      <w:r>
        <w:fldChar w:fldCharType="separate"/>
      </w:r>
      <w:r>
        <w:t>8</w:t>
      </w:r>
      <w:r>
        <w:fldChar w:fldCharType="end"/>
      </w:r>
      <w:r>
        <w:fldChar w:fldCharType="end"/>
      </w:r>
    </w:p>
    <w:p>
      <w:pPr>
        <w:pStyle w:val="29"/>
        <w:tabs>
          <w:tab w:val="right" w:leader="dot" w:pos="8306"/>
        </w:tabs>
        <w:ind w:left="420"/>
      </w:pPr>
      <w:r>
        <w:fldChar w:fldCharType="begin"/>
      </w:r>
      <w:r>
        <w:instrText xml:space="preserve"> HYPERLINK \l "_Toc17297" </w:instrText>
      </w:r>
      <w:r>
        <w:fldChar w:fldCharType="separate"/>
      </w:r>
      <w:r>
        <w:rPr>
          <w:rFonts w:ascii="宋体" w:hAnsi="宋体" w:cs="宋体"/>
        </w:rPr>
        <w:t>九、国有资本经营预算支出决算情况说明</w:t>
      </w:r>
      <w:r>
        <w:tab/>
      </w:r>
      <w:r>
        <w:fldChar w:fldCharType="begin"/>
      </w:r>
      <w:r>
        <w:instrText xml:space="preserve"> PAGEREF _Toc17297 </w:instrText>
      </w:r>
      <w:r>
        <w:fldChar w:fldCharType="separate"/>
      </w:r>
      <w:r>
        <w:t>8</w:t>
      </w:r>
      <w:r>
        <w:fldChar w:fldCharType="end"/>
      </w:r>
      <w:r>
        <w:fldChar w:fldCharType="end"/>
      </w:r>
    </w:p>
    <w:p>
      <w:pPr>
        <w:pStyle w:val="29"/>
        <w:tabs>
          <w:tab w:val="right" w:leader="dot" w:pos="8306"/>
        </w:tabs>
        <w:ind w:left="420"/>
      </w:pPr>
      <w:r>
        <w:fldChar w:fldCharType="begin"/>
      </w:r>
      <w:r>
        <w:instrText xml:space="preserve"> HYPERLINK \l "_Toc5937" </w:instrText>
      </w:r>
      <w:r>
        <w:fldChar w:fldCharType="separate"/>
      </w:r>
      <w:r>
        <w:rPr>
          <w:rFonts w:ascii="宋体" w:hAnsi="宋体" w:cs="宋体"/>
        </w:rPr>
        <w:t>十、其他重要事项的情况说明</w:t>
      </w:r>
      <w:r>
        <w:tab/>
      </w:r>
      <w:r>
        <w:fldChar w:fldCharType="begin"/>
      </w:r>
      <w:r>
        <w:instrText xml:space="preserve"> PAGEREF _Toc5937 </w:instrText>
      </w:r>
      <w:r>
        <w:fldChar w:fldCharType="separate"/>
      </w:r>
      <w:r>
        <w:t>8</w:t>
      </w:r>
      <w:r>
        <w:fldChar w:fldCharType="end"/>
      </w:r>
      <w:r>
        <w:fldChar w:fldCharType="end"/>
      </w:r>
    </w:p>
    <w:p>
      <w:pPr>
        <w:pStyle w:val="28"/>
        <w:tabs>
          <w:tab w:val="right" w:leader="dot" w:pos="8306"/>
        </w:tabs>
        <w:rPr>
          <w:b/>
        </w:rPr>
      </w:pPr>
      <w:r>
        <w:fldChar w:fldCharType="begin"/>
      </w:r>
      <w:r>
        <w:instrText xml:space="preserve"> HYPERLINK \l "_Toc7572" </w:instrText>
      </w:r>
      <w:r>
        <w:fldChar w:fldCharType="separate"/>
      </w:r>
      <w:r>
        <w:rPr>
          <w:rFonts w:hint="eastAsia" w:ascii="黑体" w:hAnsi="黑体" w:eastAsia="黑体"/>
          <w:b/>
        </w:rPr>
        <w:t>第三部分</w:t>
      </w:r>
      <w:r>
        <w:rPr>
          <w:rFonts w:hint="eastAsia" w:ascii="黑体" w:hAnsi="黑体" w:eastAsia="黑体"/>
          <w:b/>
          <w:szCs w:val="44"/>
        </w:rPr>
        <w:t>名</w:t>
      </w:r>
      <w:r>
        <w:rPr>
          <w:rFonts w:hint="eastAsia" w:ascii="黑体" w:hAnsi="黑体" w:eastAsia="黑体"/>
          <w:b/>
        </w:rPr>
        <w:t>词解释</w:t>
      </w:r>
      <w:r>
        <w:rPr>
          <w:b/>
        </w:rPr>
        <w:tab/>
      </w:r>
      <w:r>
        <w:rPr>
          <w:b/>
        </w:rPr>
        <w:fldChar w:fldCharType="begin"/>
      </w:r>
      <w:r>
        <w:rPr>
          <w:b/>
        </w:rPr>
        <w:instrText xml:space="preserve"> PAGEREF _Toc7572 </w:instrText>
      </w:r>
      <w:r>
        <w:rPr>
          <w:b/>
        </w:rPr>
        <w:fldChar w:fldCharType="separate"/>
      </w:r>
      <w:r>
        <w:rPr>
          <w:b/>
        </w:rPr>
        <w:t>9</w:t>
      </w:r>
      <w:r>
        <w:rPr>
          <w:b/>
        </w:rPr>
        <w:fldChar w:fldCharType="end"/>
      </w:r>
      <w:r>
        <w:rPr>
          <w:b/>
        </w:rPr>
        <w:fldChar w:fldCharType="end"/>
      </w:r>
    </w:p>
    <w:p>
      <w:pPr>
        <w:pStyle w:val="28"/>
        <w:tabs>
          <w:tab w:val="right" w:leader="dot" w:pos="8306"/>
        </w:tabs>
        <w:rPr>
          <w:b/>
        </w:rPr>
      </w:pPr>
      <w:r>
        <w:fldChar w:fldCharType="begin"/>
      </w:r>
      <w:r>
        <w:instrText xml:space="preserve"> HYPERLINK \l "_Toc3638" </w:instrText>
      </w:r>
      <w:r>
        <w:fldChar w:fldCharType="separate"/>
      </w:r>
      <w:r>
        <w:rPr>
          <w:rFonts w:hint="eastAsia" w:ascii="黑体" w:hAnsi="黑体" w:eastAsia="黑体"/>
          <w:b/>
        </w:rPr>
        <w:t>第四部分附件</w:t>
      </w:r>
      <w:r>
        <w:rPr>
          <w:b/>
        </w:rPr>
        <w:tab/>
      </w:r>
      <w:r>
        <w:rPr>
          <w:b/>
        </w:rPr>
        <w:fldChar w:fldCharType="begin"/>
      </w:r>
      <w:r>
        <w:rPr>
          <w:b/>
        </w:rPr>
        <w:instrText xml:space="preserve"> PAGEREF _Toc3638 </w:instrText>
      </w:r>
      <w:r>
        <w:rPr>
          <w:b/>
        </w:rPr>
        <w:fldChar w:fldCharType="separate"/>
      </w:r>
      <w:r>
        <w:rPr>
          <w:b/>
        </w:rPr>
        <w:t>12</w:t>
      </w:r>
      <w:r>
        <w:rPr>
          <w:b/>
        </w:rPr>
        <w:fldChar w:fldCharType="end"/>
      </w:r>
      <w:r>
        <w:rPr>
          <w:b/>
        </w:rPr>
        <w:fldChar w:fldCharType="end"/>
      </w:r>
    </w:p>
    <w:p>
      <w:pPr>
        <w:pStyle w:val="28"/>
        <w:tabs>
          <w:tab w:val="right" w:leader="dot" w:pos="8306"/>
        </w:tabs>
        <w:rPr>
          <w:b/>
        </w:rPr>
      </w:pPr>
      <w:r>
        <w:fldChar w:fldCharType="begin"/>
      </w:r>
      <w:r>
        <w:instrText xml:space="preserve"> HYPERLINK \l "_Toc29947" </w:instrText>
      </w:r>
      <w:r>
        <w:fldChar w:fldCharType="separate"/>
      </w:r>
      <w:r>
        <w:rPr>
          <w:rFonts w:hint="eastAsia" w:ascii="黑体" w:hAnsi="黑体" w:eastAsia="黑体"/>
          <w:b/>
        </w:rPr>
        <w:t>第五部分附表</w:t>
      </w:r>
      <w:r>
        <w:rPr>
          <w:b/>
        </w:rPr>
        <w:tab/>
      </w:r>
      <w:r>
        <w:rPr>
          <w:b/>
        </w:rPr>
        <w:fldChar w:fldCharType="begin"/>
      </w:r>
      <w:r>
        <w:rPr>
          <w:b/>
        </w:rPr>
        <w:instrText xml:space="preserve"> PAGEREF _Toc29947 </w:instrText>
      </w:r>
      <w:r>
        <w:rPr>
          <w:b/>
        </w:rPr>
        <w:fldChar w:fldCharType="separate"/>
      </w:r>
      <w:r>
        <w:rPr>
          <w:b/>
        </w:rPr>
        <w:t>14</w:t>
      </w:r>
      <w:r>
        <w:rPr>
          <w:b/>
        </w:rPr>
        <w:fldChar w:fldCharType="end"/>
      </w:r>
      <w:r>
        <w:rPr>
          <w:b/>
        </w:rPr>
        <w:fldChar w:fldCharType="end"/>
      </w:r>
    </w:p>
    <w:p>
      <w:pPr>
        <w:pStyle w:val="28"/>
        <w:tabs>
          <w:tab w:val="right" w:leader="dot" w:pos="8306"/>
        </w:tabs>
        <w:rPr>
          <w:b/>
        </w:rPr>
      </w:pPr>
      <w:r>
        <w:fldChar w:fldCharType="begin"/>
      </w:r>
      <w:r>
        <w:instrText xml:space="preserve"> HYPERLINK \l "_Toc27423" </w:instrText>
      </w:r>
      <w:r>
        <w:fldChar w:fldCharType="separate"/>
      </w:r>
      <w:r>
        <w:rPr>
          <w:rFonts w:hint="eastAsia" w:ascii="仿宋" w:hAnsi="仿宋" w:eastAsia="仿宋"/>
          <w:b/>
          <w:szCs w:val="28"/>
        </w:rPr>
        <w:t>一、收入支出决算表</w:t>
      </w:r>
      <w:r>
        <w:rPr>
          <w:b/>
        </w:rPr>
        <w:tab/>
      </w:r>
      <w:r>
        <w:rPr>
          <w:b/>
        </w:rPr>
        <w:fldChar w:fldCharType="begin"/>
      </w:r>
      <w:r>
        <w:rPr>
          <w:b/>
        </w:rPr>
        <w:instrText xml:space="preserve"> PAGEREF _Toc27423 </w:instrText>
      </w:r>
      <w:r>
        <w:rPr>
          <w:b/>
        </w:rPr>
        <w:fldChar w:fldCharType="separate"/>
      </w:r>
      <w:r>
        <w:rPr>
          <w:b/>
        </w:rPr>
        <w:t>14</w:t>
      </w:r>
      <w:r>
        <w:rPr>
          <w:b/>
        </w:rPr>
        <w:fldChar w:fldCharType="end"/>
      </w:r>
      <w:r>
        <w:rPr>
          <w:b/>
        </w:rPr>
        <w:fldChar w:fldCharType="end"/>
      </w:r>
    </w:p>
    <w:p>
      <w:pPr>
        <w:pStyle w:val="29"/>
        <w:tabs>
          <w:tab w:val="right" w:leader="dot" w:pos="8306"/>
        </w:tabs>
        <w:ind w:left="420"/>
      </w:pPr>
      <w:r>
        <w:fldChar w:fldCharType="begin"/>
      </w:r>
      <w:r>
        <w:instrText xml:space="preserve"> HYPERLINK \l "_Toc19471" </w:instrText>
      </w:r>
      <w:r>
        <w:fldChar w:fldCharType="separate"/>
      </w:r>
      <w:r>
        <w:rPr>
          <w:rFonts w:hint="eastAsia" w:ascii="仿宋" w:hAnsi="仿宋" w:eastAsia="仿宋"/>
        </w:rPr>
        <w:t>二、收入决算表</w:t>
      </w:r>
      <w:r>
        <w:tab/>
      </w:r>
      <w:r>
        <w:fldChar w:fldCharType="begin"/>
      </w:r>
      <w:r>
        <w:instrText xml:space="preserve"> PAGEREF _Toc19471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"_Toc22295" </w:instrText>
      </w:r>
      <w:r>
        <w:fldChar w:fldCharType="separate"/>
      </w:r>
      <w:r>
        <w:rPr>
          <w:rFonts w:hint="eastAsia" w:ascii="仿宋" w:hAnsi="仿宋" w:eastAsia="仿宋"/>
        </w:rPr>
        <w:t>三、支出决算表</w:t>
      </w:r>
      <w:r>
        <w:tab/>
      </w:r>
      <w:r>
        <w:fldChar w:fldCharType="begin"/>
      </w:r>
      <w:r>
        <w:instrText xml:space="preserve"> PAGEREF _Toc22295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"_Toc1190" </w:instrText>
      </w:r>
      <w:r>
        <w:fldChar w:fldCharType="separate"/>
      </w:r>
      <w:r>
        <w:rPr>
          <w:rFonts w:hint="eastAsia" w:ascii="仿宋" w:hAnsi="仿宋" w:eastAsia="仿宋"/>
        </w:rPr>
        <w:t>四、财政拨款收入支出决算总表</w:t>
      </w:r>
      <w:r>
        <w:tab/>
      </w:r>
      <w:r>
        <w:fldChar w:fldCharType="begin"/>
      </w:r>
      <w:r>
        <w:instrText xml:space="preserve"> PAGEREF _Toc1190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"_Toc18291" </w:instrText>
      </w:r>
      <w:r>
        <w:fldChar w:fldCharType="separate"/>
      </w:r>
      <w:r>
        <w:rPr>
          <w:rFonts w:hint="eastAsia" w:ascii="仿宋" w:hAnsi="仿宋" w:eastAsia="仿宋"/>
        </w:rPr>
        <w:t>五、财政拨款支出决算明细表</w:t>
      </w:r>
      <w:r>
        <w:tab/>
      </w:r>
      <w:r>
        <w:fldChar w:fldCharType="begin"/>
      </w:r>
      <w:r>
        <w:instrText xml:space="preserve"> PAGEREF _Toc18291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"_Toc13901" </w:instrText>
      </w:r>
      <w:r>
        <w:fldChar w:fldCharType="separate"/>
      </w:r>
      <w:r>
        <w:rPr>
          <w:rFonts w:hint="eastAsia" w:ascii="仿宋" w:hAnsi="仿宋" w:eastAsia="仿宋"/>
        </w:rPr>
        <w:t>六、一般公共预算财政拨款支出决算表</w:t>
      </w:r>
      <w:r>
        <w:tab/>
      </w:r>
      <w:r>
        <w:fldChar w:fldCharType="begin"/>
      </w:r>
      <w:r>
        <w:instrText xml:space="preserve"> PAGEREF _Toc13901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"_Toc14062" </w:instrText>
      </w:r>
      <w:r>
        <w:fldChar w:fldCharType="separate"/>
      </w:r>
      <w:r>
        <w:rPr>
          <w:rFonts w:hint="eastAsia" w:ascii="仿宋" w:hAnsi="仿宋" w:eastAsia="仿宋"/>
        </w:rPr>
        <w:t>七、一般公共预算财政拨款支出决算明细表</w:t>
      </w:r>
      <w:r>
        <w:tab/>
      </w:r>
      <w:r>
        <w:fldChar w:fldCharType="begin"/>
      </w:r>
      <w:r>
        <w:instrText xml:space="preserve"> PAGEREF _Toc14062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"_Toc13485" </w:instrText>
      </w:r>
      <w:r>
        <w:fldChar w:fldCharType="separate"/>
      </w:r>
      <w:r>
        <w:rPr>
          <w:rFonts w:hint="eastAsia" w:ascii="仿宋" w:hAnsi="仿宋" w:eastAsia="仿宋"/>
        </w:rPr>
        <w:t>八、一般公共预算财政拨款基本支出决算表</w:t>
      </w:r>
      <w:r>
        <w:tab/>
      </w:r>
      <w:r>
        <w:fldChar w:fldCharType="begin"/>
      </w:r>
      <w:r>
        <w:instrText xml:space="preserve"> PAGEREF _Toc13485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"_Toc18176" </w:instrText>
      </w:r>
      <w:r>
        <w:fldChar w:fldCharType="separate"/>
      </w:r>
      <w:r>
        <w:rPr>
          <w:rFonts w:hint="eastAsia" w:ascii="仿宋" w:hAnsi="仿宋" w:eastAsia="仿宋"/>
        </w:rPr>
        <w:t>九、一般公共预算财政拨款项目支出决算表</w:t>
      </w:r>
      <w:r>
        <w:tab/>
      </w:r>
      <w:r>
        <w:fldChar w:fldCharType="begin"/>
      </w:r>
      <w:r>
        <w:instrText xml:space="preserve"> PAGEREF _Toc18176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"_Toc3588" </w:instrText>
      </w:r>
      <w:r>
        <w:fldChar w:fldCharType="separate"/>
      </w:r>
      <w:r>
        <w:rPr>
          <w:rFonts w:hint="eastAsia" w:ascii="仿宋" w:hAnsi="仿宋" w:eastAsia="仿宋"/>
        </w:rPr>
        <w:t>十、一般公共预算财政拨款“三公”经费支出决算表</w:t>
      </w:r>
      <w:r>
        <w:tab/>
      </w:r>
      <w:r>
        <w:fldChar w:fldCharType="begin"/>
      </w:r>
      <w:r>
        <w:instrText xml:space="preserve"> PAGEREF _Toc3588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"_Toc7404" </w:instrText>
      </w:r>
      <w:r>
        <w:fldChar w:fldCharType="separate"/>
      </w:r>
      <w:r>
        <w:rPr>
          <w:rFonts w:hint="eastAsia" w:ascii="仿宋" w:hAnsi="仿宋" w:eastAsia="仿宋"/>
        </w:rPr>
        <w:t>十一、政府性基金预算财政拨款收入支出决算表</w:t>
      </w:r>
      <w:r>
        <w:tab/>
      </w:r>
      <w:r>
        <w:fldChar w:fldCharType="begin"/>
      </w:r>
      <w:r>
        <w:instrText xml:space="preserve"> PAGEREF _Toc7404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"_Toc27273" </w:instrText>
      </w:r>
      <w:r>
        <w:fldChar w:fldCharType="separate"/>
      </w:r>
      <w:r>
        <w:rPr>
          <w:rFonts w:hint="eastAsia" w:ascii="仿宋" w:hAnsi="仿宋" w:eastAsia="仿宋"/>
        </w:rPr>
        <w:t>十二、政府性基金预算财政拨款“三公”经费支出决算表</w:t>
      </w:r>
      <w:r>
        <w:tab/>
      </w:r>
      <w:r>
        <w:fldChar w:fldCharType="begin"/>
      </w:r>
      <w:r>
        <w:instrText xml:space="preserve"> PAGEREF _Toc27273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"_Toc24613" </w:instrText>
      </w:r>
      <w:r>
        <w:fldChar w:fldCharType="separate"/>
      </w:r>
      <w:r>
        <w:rPr>
          <w:rFonts w:hint="eastAsia" w:ascii="仿宋" w:hAnsi="仿宋" w:eastAsia="仿宋"/>
        </w:rPr>
        <w:t>十三、国有资本经营预算财政拨款支出决算表</w:t>
      </w:r>
      <w:r>
        <w:tab/>
      </w:r>
      <w:r>
        <w:fldChar w:fldCharType="begin"/>
      </w:r>
      <w:r>
        <w:instrText xml:space="preserve"> PAGEREF _Toc24613 </w:instrText>
      </w:r>
      <w:r>
        <w:fldChar w:fldCharType="separate"/>
      </w:r>
      <w:r>
        <w:t>14</w:t>
      </w:r>
      <w:r>
        <w:fldChar w:fldCharType="end"/>
      </w:r>
      <w:r>
        <w:fldChar w:fldCharType="end"/>
      </w:r>
    </w:p>
    <w:p>
      <w:pPr>
        <w:pStyle w:val="29"/>
        <w:tabs>
          <w:tab w:val="right" w:leader="dot" w:pos="8306"/>
        </w:tabs>
        <w:ind w:left="420"/>
      </w:pPr>
      <w:r>
        <w:fldChar w:fldCharType="begin"/>
      </w:r>
      <w:r>
        <w:instrText xml:space="preserve"> HYPERLINK \l "_Toc15274" </w:instrText>
      </w:r>
      <w:r>
        <w:fldChar w:fldCharType="separate"/>
      </w:r>
      <w:r>
        <w:rPr>
          <w:rFonts w:hint="eastAsia" w:ascii="仿宋" w:hAnsi="仿宋" w:eastAsia="仿宋"/>
        </w:rPr>
        <w:t>十四、国有资本经营预算财政拨款支出决算表</w:t>
      </w:r>
      <w:r>
        <w:tab/>
      </w:r>
      <w:r>
        <w:fldChar w:fldCharType="begin"/>
      </w:r>
      <w:r>
        <w:instrText xml:space="preserve"> PAGEREF _Toc15274 </w:instrText>
      </w:r>
      <w:r>
        <w:fldChar w:fldCharType="separate"/>
      </w:r>
      <w:r>
        <w:t>14</w:t>
      </w:r>
      <w:r>
        <w:fldChar w:fldCharType="end"/>
      </w:r>
      <w:r>
        <w:fldChar w:fldCharType="end"/>
      </w:r>
    </w:p>
    <w:p>
      <w:r>
        <w:rPr>
          <w:b/>
        </w:rPr>
        <w:fldChar w:fldCharType="end"/>
      </w:r>
    </w:p>
    <w:p>
      <w:pPr>
        <w:pStyle w:val="24"/>
        <w:adjustRightInd w:val="0"/>
        <w:snapToGrid w:val="0"/>
        <w:spacing w:line="420" w:lineRule="exact"/>
        <w:jc w:val="left"/>
        <w:rPr>
          <w:sz w:val="24"/>
        </w:rPr>
      </w:pPr>
      <w:r>
        <w:rPr>
          <w:rFonts w:hint="eastAsia"/>
          <w:sz w:val="24"/>
        </w:rPr>
        <w:t>5</w:t>
      </w:r>
    </w:p>
    <w:p>
      <w:pPr>
        <w:widowControl/>
        <w:spacing w:line="440" w:lineRule="exact"/>
        <w:jc w:val="left"/>
        <w:rPr>
          <w:rFonts w:ascii="仿宋" w:hAnsi="仿宋" w:eastAsia="仿宋"/>
          <w:bCs/>
          <w:kern w:val="44"/>
          <w:sz w:val="24"/>
        </w:rPr>
        <w:sectPr>
          <w:footerReference r:id="rId3" w:type="default"/>
          <w:pgSz w:w="11906" w:h="16838"/>
          <w:pgMar w:top="873" w:right="1800" w:bottom="873" w:left="1800" w:header="851" w:footer="992" w:gutter="0"/>
          <w:pgNumType w:start="1"/>
          <w:cols w:space="720" w:num="1"/>
          <w:docGrid w:type="lines" w:linePitch="312" w:charSpace="0"/>
        </w:sectPr>
      </w:pPr>
    </w:p>
    <w:p>
      <w:pPr>
        <w:pStyle w:val="3"/>
        <w:spacing w:before="93"/>
      </w:pPr>
    </w:p>
    <w:p>
      <w:pPr>
        <w:pStyle w:val="13"/>
        <w:jc w:val="center"/>
        <w:rPr>
          <w:rStyle w:val="19"/>
          <w:rFonts w:ascii="黑体" w:hAnsi="黑体" w:eastAsia="黑体"/>
          <w:b w:val="0"/>
          <w:bCs w:val="0"/>
        </w:rPr>
      </w:pPr>
      <w:bookmarkStart w:id="16" w:name="_Toc26356"/>
      <w:r>
        <w:rPr>
          <w:rFonts w:hint="eastAsia" w:ascii="黑体" w:hAnsi="黑体" w:eastAsia="黑体"/>
          <w:b w:val="0"/>
        </w:rPr>
        <w:t>第一部分单位</w:t>
      </w:r>
      <w:r>
        <w:rPr>
          <w:rStyle w:val="19"/>
          <w:rFonts w:hint="eastAsia" w:ascii="黑体" w:hAnsi="黑体" w:eastAsia="黑体"/>
          <w:b w:val="0"/>
          <w:bCs w:val="0"/>
        </w:rPr>
        <w:t>概况</w:t>
      </w:r>
      <w:bookmarkEnd w:id="14"/>
      <w:bookmarkEnd w:id="15"/>
      <w:bookmarkEnd w:id="16"/>
    </w:p>
    <w:p>
      <w:pPr>
        <w:pStyle w:val="14"/>
        <w:spacing w:after="0" w:line="560" w:lineRule="exact"/>
        <w:ind w:firstLine="960" w:firstLineChars="300"/>
        <w:rPr>
          <w:rStyle w:val="20"/>
          <w:rFonts w:ascii="黑体" w:hAnsi="黑体" w:eastAsia="黑体"/>
          <w:b w:val="0"/>
          <w:bCs w:val="0"/>
        </w:rPr>
      </w:pPr>
      <w:bookmarkStart w:id="17" w:name="_Toc10632"/>
      <w:bookmarkStart w:id="18" w:name="_Toc15377197"/>
      <w:bookmarkStart w:id="19" w:name="_Toc15396600"/>
      <w:r>
        <w:rPr>
          <w:rStyle w:val="20"/>
          <w:rFonts w:hint="eastAsia" w:ascii="黑体" w:hAnsi="黑体" w:eastAsia="黑体"/>
          <w:b w:val="0"/>
          <w:bCs w:val="0"/>
        </w:rPr>
        <w:t>一、职能简介</w:t>
      </w:r>
      <w:bookmarkEnd w:id="17"/>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认真贯彻落实党和国家的方针、政策，正确执行上级主管部门的决议和指示，全面实施素质教育，培养德、智、体、美等方面全面发展的社会主义事业的建设者和接班人。</w:t>
      </w:r>
    </w:p>
    <w:p>
      <w:pPr>
        <w:pStyle w:val="14"/>
        <w:spacing w:before="0" w:after="0" w:line="560" w:lineRule="exact"/>
        <w:ind w:firstLine="640" w:firstLineChars="200"/>
        <w:rPr>
          <w:rFonts w:ascii="黑体" w:hAnsi="黑体" w:eastAsia="黑体"/>
          <w:b w:val="0"/>
        </w:rPr>
      </w:pPr>
      <w:bookmarkStart w:id="20" w:name="_Toc21920"/>
      <w:r>
        <w:rPr>
          <w:rFonts w:hint="eastAsia" w:ascii="黑体" w:hAnsi="黑体" w:eastAsia="黑体"/>
          <w:b w:val="0"/>
        </w:rPr>
        <w:t>二、2021年重点工作</w:t>
      </w:r>
      <w:bookmarkEnd w:id="18"/>
      <w:bookmarkEnd w:id="19"/>
      <w:r>
        <w:rPr>
          <w:rFonts w:hint="eastAsia" w:ascii="黑体" w:hAnsi="黑体" w:eastAsia="黑体"/>
          <w:b w:val="0"/>
        </w:rPr>
        <w:t>完成情况</w:t>
      </w:r>
      <w:bookmarkEnd w:id="20"/>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烟溪小学在县委、县政府的领导下，在上级主管部门的指导下，全面完成了2021年教育教学工作，并取得了一定的成绩。</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w:t>
      </w:r>
      <w:r>
        <w:rPr>
          <w:rFonts w:hint="eastAsia" w:ascii="仿宋_GB2312" w:eastAsia="仿宋_GB2312"/>
          <w:color w:val="auto"/>
          <w:sz w:val="32"/>
          <w:szCs w:val="32"/>
          <w:u w:val="none" w:color="46CD7E"/>
          <w:shd w:val="clear" w:fill="auto"/>
          <w:lang w:eastAsia="zh-CN"/>
        </w:rPr>
        <w:t>.</w:t>
      </w:r>
      <w:r>
        <w:rPr>
          <w:rFonts w:hint="eastAsia" w:ascii="仿宋_GB2312" w:eastAsia="仿宋_GB2312"/>
          <w:color w:val="auto"/>
          <w:sz w:val="32"/>
          <w:szCs w:val="32"/>
        </w:rPr>
        <w:t>做好“控辍保学”工作，坚决完成上级的任务。</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w:t>
      </w:r>
      <w:r>
        <w:rPr>
          <w:rFonts w:hint="eastAsia" w:ascii="仿宋_GB2312" w:eastAsia="仿宋_GB2312"/>
          <w:color w:val="auto"/>
          <w:sz w:val="32"/>
          <w:szCs w:val="32"/>
          <w:u w:val="none" w:color="46CD7E"/>
          <w:shd w:val="clear" w:fill="auto"/>
          <w:lang w:eastAsia="zh-CN"/>
        </w:rPr>
        <w:t>.</w:t>
      </w:r>
      <w:r>
        <w:rPr>
          <w:rFonts w:hint="eastAsia" w:ascii="仿宋_GB2312" w:eastAsia="仿宋_GB2312"/>
          <w:color w:val="auto"/>
          <w:sz w:val="32"/>
          <w:szCs w:val="32"/>
        </w:rPr>
        <w:t>全面开展脱贫帮扶工作。</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w:t>
      </w:r>
      <w:r>
        <w:rPr>
          <w:rFonts w:hint="eastAsia" w:ascii="仿宋_GB2312" w:eastAsia="仿宋_GB2312"/>
          <w:color w:val="auto"/>
          <w:sz w:val="32"/>
          <w:szCs w:val="32"/>
          <w:u w:val="none" w:color="46CD7E"/>
          <w:shd w:val="clear" w:fill="auto"/>
          <w:lang w:eastAsia="zh-CN"/>
        </w:rPr>
        <w:t>.</w:t>
      </w:r>
      <w:r>
        <w:rPr>
          <w:rFonts w:hint="eastAsia" w:ascii="仿宋_GB2312" w:eastAsia="仿宋_GB2312"/>
          <w:color w:val="auto"/>
          <w:sz w:val="32"/>
          <w:szCs w:val="32"/>
        </w:rPr>
        <w:t>学校关爱“三残”儿童、留守</w:t>
      </w:r>
      <w:r>
        <w:fldChar w:fldCharType="begin"/>
      </w:r>
      <w:r>
        <w:instrText xml:space="preserve"> HYPERLINK "http://www.xuexila.com/news/ertong/" </w:instrText>
      </w:r>
      <w:r>
        <w:fldChar w:fldCharType="separate"/>
      </w:r>
      <w:r>
        <w:rPr>
          <w:rFonts w:hint="eastAsia" w:ascii="仿宋_GB2312" w:eastAsia="仿宋_GB2312"/>
          <w:color w:val="auto"/>
          <w:sz w:val="32"/>
          <w:szCs w:val="32"/>
        </w:rPr>
        <w:t>儿童</w:t>
      </w:r>
      <w:r>
        <w:rPr>
          <w:rFonts w:hint="eastAsia" w:ascii="仿宋_GB2312" w:eastAsia="仿宋_GB2312"/>
          <w:color w:val="auto"/>
          <w:sz w:val="32"/>
          <w:szCs w:val="32"/>
        </w:rPr>
        <w:fldChar w:fldCharType="end"/>
      </w:r>
      <w:r>
        <w:rPr>
          <w:rFonts w:hint="eastAsia" w:ascii="仿宋_GB2312" w:eastAsia="仿宋_GB2312"/>
          <w:color w:val="auto"/>
          <w:sz w:val="32"/>
          <w:szCs w:val="32"/>
        </w:rPr>
        <w:t>、贫困儿童并实行了校内帮扶结对。</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4</w:t>
      </w:r>
      <w:r>
        <w:rPr>
          <w:rFonts w:hint="eastAsia" w:ascii="仿宋_GB2312" w:eastAsia="仿宋_GB2312"/>
          <w:color w:val="auto"/>
          <w:sz w:val="32"/>
          <w:szCs w:val="32"/>
          <w:u w:val="none" w:color="46CD7E"/>
          <w:shd w:val="clear" w:fill="auto"/>
          <w:lang w:eastAsia="zh-CN"/>
        </w:rPr>
        <w:t>.</w:t>
      </w:r>
      <w:r>
        <w:rPr>
          <w:rFonts w:hint="eastAsia" w:ascii="仿宋_GB2312" w:eastAsia="仿宋_GB2312"/>
          <w:color w:val="auto"/>
          <w:sz w:val="32"/>
          <w:szCs w:val="32"/>
        </w:rPr>
        <w:t>狠抓常规教学管理，努力提高教育教学质量。 </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5</w:t>
      </w:r>
      <w:r>
        <w:rPr>
          <w:rFonts w:hint="eastAsia" w:ascii="仿宋_GB2312" w:eastAsia="仿宋_GB2312"/>
          <w:color w:val="auto"/>
          <w:sz w:val="32"/>
          <w:szCs w:val="32"/>
          <w:u w:val="none" w:color="46CD7E"/>
          <w:shd w:val="clear" w:fill="auto"/>
          <w:lang w:eastAsia="zh-CN"/>
        </w:rPr>
        <w:t>.</w:t>
      </w:r>
      <w:r>
        <w:rPr>
          <w:rFonts w:hint="eastAsia" w:ascii="仿宋_GB2312" w:eastAsia="仿宋_GB2312"/>
          <w:color w:val="auto"/>
          <w:sz w:val="32"/>
          <w:szCs w:val="32"/>
        </w:rPr>
        <w:t>抓育人、促养成，切实增强德育成效。</w:t>
      </w:r>
    </w:p>
    <w:p>
      <w:pPr>
        <w:widowControl/>
        <w:jc w:val="left"/>
        <w:rPr>
          <w:rFonts w:ascii="仿宋" w:hAnsi="仿宋" w:eastAsia="仿宋"/>
          <w:kern w:val="0"/>
          <w:sz w:val="32"/>
          <w:szCs w:val="32"/>
        </w:rPr>
      </w:pPr>
      <w:r>
        <w:br w:type="page"/>
      </w:r>
    </w:p>
    <w:p>
      <w:pPr>
        <w:pStyle w:val="13"/>
        <w:ind w:right="440"/>
        <w:jc w:val="center"/>
        <w:rPr>
          <w:rStyle w:val="19"/>
          <w:rFonts w:ascii="黑体" w:hAnsi="黑体" w:eastAsia="黑体"/>
          <w:b w:val="0"/>
          <w:bCs w:val="0"/>
        </w:rPr>
      </w:pPr>
      <w:bookmarkStart w:id="21" w:name="_Toc9867"/>
      <w:bookmarkStart w:id="22" w:name="_Toc15396602"/>
      <w:bookmarkStart w:id="23" w:name="_Toc15377204"/>
      <w:r>
        <w:rPr>
          <w:rFonts w:hint="eastAsia" w:ascii="黑体" w:hAnsi="黑体" w:eastAsia="黑体"/>
          <w:b w:val="0"/>
        </w:rPr>
        <w:t>第二部分 2021年度</w:t>
      </w:r>
      <w:r>
        <w:rPr>
          <w:rStyle w:val="19"/>
          <w:rFonts w:hint="eastAsia" w:ascii="黑体" w:hAnsi="黑体" w:eastAsia="黑体"/>
          <w:b w:val="0"/>
          <w:bCs w:val="0"/>
        </w:rPr>
        <w:t>单位决算</w:t>
      </w:r>
      <w:r>
        <w:rPr>
          <w:rFonts w:hint="eastAsia" w:ascii="黑体" w:hAnsi="黑体" w:eastAsia="黑体"/>
          <w:b w:val="0"/>
        </w:rPr>
        <w:t>情况说明</w:t>
      </w:r>
      <w:bookmarkEnd w:id="21"/>
      <w:bookmarkEnd w:id="22"/>
      <w:bookmarkEnd w:id="23"/>
    </w:p>
    <w:p/>
    <w:p>
      <w:pPr>
        <w:pStyle w:val="27"/>
        <w:numPr>
          <w:ilvl w:val="0"/>
          <w:numId w:val="1"/>
        </w:numPr>
        <w:spacing w:line="600" w:lineRule="exact"/>
        <w:ind w:firstLineChars="0"/>
        <w:outlineLvl w:val="1"/>
        <w:rPr>
          <w:rStyle w:val="20"/>
          <w:rFonts w:ascii="黑体" w:hAnsi="黑体" w:eastAsia="黑体"/>
          <w:b w:val="0"/>
        </w:rPr>
      </w:pPr>
      <w:bookmarkStart w:id="24" w:name="_Toc15377205"/>
      <w:bookmarkStart w:id="25" w:name="_Toc25121"/>
      <w:bookmarkStart w:id="26" w:name="_Toc15396603"/>
      <w:r>
        <w:rPr>
          <w:rFonts w:hint="eastAsia" w:ascii="黑体" w:hAnsi="黑体" w:eastAsia="黑体"/>
          <w:sz w:val="32"/>
          <w:szCs w:val="32"/>
        </w:rPr>
        <w:t>收</w:t>
      </w:r>
      <w:r>
        <w:rPr>
          <w:rStyle w:val="20"/>
          <w:rFonts w:hint="eastAsia" w:ascii="黑体" w:hAnsi="黑体" w:eastAsia="黑体"/>
          <w:b w:val="0"/>
        </w:rPr>
        <w:t>入支出</w:t>
      </w:r>
      <w:r>
        <w:rPr>
          <w:rFonts w:hint="eastAsia" w:ascii="黑体" w:hAnsi="黑体" w:eastAsia="黑体"/>
        </w:rPr>
        <w:t>决</w:t>
      </w:r>
      <w:r>
        <w:rPr>
          <w:rStyle w:val="20"/>
          <w:rFonts w:hint="eastAsia" w:ascii="黑体" w:hAnsi="黑体" w:eastAsia="黑体"/>
          <w:b w:val="0"/>
        </w:rPr>
        <w:t>算</w:t>
      </w:r>
      <w:r>
        <w:rPr>
          <w:rFonts w:hint="eastAsia" w:ascii="黑体" w:hAnsi="黑体" w:eastAsia="黑体"/>
        </w:rPr>
        <w:t>总体情况说明</w:t>
      </w:r>
      <w:bookmarkEnd w:id="24"/>
      <w:bookmarkEnd w:id="25"/>
      <w:bookmarkEnd w:id="26"/>
    </w:p>
    <w:p>
      <w:pPr>
        <w:spacing w:line="600" w:lineRule="exact"/>
        <w:ind w:firstLine="640" w:firstLineChars="200"/>
        <w:rPr>
          <w:rFonts w:ascii="仿宋_GB2312" w:hAnsi="仿宋" w:eastAsia="仿宋_GB2312"/>
          <w:sz w:val="32"/>
          <w:szCs w:val="32"/>
        </w:rPr>
      </w:pPr>
      <w:r>
        <w:rPr>
          <w:rFonts w:hint="eastAsia" w:ascii="仿宋" w:hAnsi="仿宋" w:eastAsia="仿宋"/>
          <w:sz w:val="32"/>
          <w:szCs w:val="32"/>
        </w:rPr>
        <w:t>2021年度收、支总计414.5143万元。与2020年相比，收、支总计各增加17.9559万元，增长4.53</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 w:eastAsia="仿宋_GB2312"/>
          <w:sz w:val="32"/>
          <w:szCs w:val="32"/>
        </w:rPr>
        <w:t>政府投入增加。</w:t>
      </w:r>
    </w:p>
    <w:p>
      <w:pPr>
        <w:rPr>
          <w:sz w:val="28"/>
          <w:szCs w:val="28"/>
        </w:rPr>
      </w:pPr>
      <w:r>
        <w:rPr>
          <w:rFonts w:hint="eastAsia"/>
          <w:sz w:val="28"/>
          <w:szCs w:val="28"/>
        </w:rPr>
        <w:object>
          <v:shape id="_x0000_i1025" o:spt="75" alt="" type="#_x0000_t75" style="height:222pt;width:368.4pt;" o:ole="t" filled="f" o:preferrelative="t" stroked="f" coordsize="21600,21600">
            <v:path/>
            <v:fill on="f" focussize="0,0"/>
            <v:stroke on="f"/>
            <v:imagedata r:id="rId7" o:title=""/>
            <o:lock v:ext="edit" aspectratio="t"/>
            <w10:wrap type="none"/>
            <w10:anchorlock/>
          </v:shape>
          <o:OLEObject Type="Embed" ProgID="Excel.Sheet.8" ShapeID="_x0000_i1025" DrawAspect="Content" ObjectID="_1468075725" r:id="rId6">
            <o:LockedField>false</o:LockedField>
          </o:OLEObject>
        </w:object>
      </w:r>
    </w:p>
    <w:p>
      <w:pPr>
        <w:pStyle w:val="3"/>
        <w:spacing w:before="93"/>
        <w:jc w:val="center"/>
      </w:pPr>
      <w:r>
        <w:rPr>
          <w:rFonts w:hint="eastAsia"/>
        </w:rPr>
        <w:t>（图1：收、支决算总计变动情况图）</w:t>
      </w:r>
    </w:p>
    <w:p>
      <w:pPr>
        <w:pStyle w:val="3"/>
        <w:numPr>
          <w:ilvl w:val="0"/>
          <w:numId w:val="1"/>
        </w:numPr>
        <w:spacing w:before="93"/>
        <w:outlineLvl w:val="1"/>
        <w:rPr>
          <w:b/>
          <w:bCs/>
        </w:rPr>
      </w:pPr>
      <w:bookmarkStart w:id="27" w:name="_Toc23176"/>
      <w:r>
        <w:rPr>
          <w:rFonts w:hint="eastAsia"/>
          <w:b/>
          <w:bCs/>
        </w:rPr>
        <w:t>收入决算情况说明</w:t>
      </w:r>
      <w:bookmarkEnd w:id="27"/>
    </w:p>
    <w:p>
      <w:pPr>
        <w:pStyle w:val="3"/>
        <w:spacing w:before="93"/>
        <w:ind w:left="640"/>
        <w:rPr>
          <w:rFonts w:ascii="仿宋" w:hAnsi="仿宋" w:eastAsia="仿宋" w:cs="仿宋"/>
          <w:sz w:val="32"/>
          <w:szCs w:val="32"/>
        </w:rPr>
      </w:pPr>
      <w:r>
        <w:rPr>
          <w:rFonts w:hint="eastAsia" w:ascii="仿宋" w:hAnsi="仿宋" w:eastAsia="仿宋" w:cs="仿宋"/>
          <w:sz w:val="32"/>
          <w:szCs w:val="32"/>
        </w:rPr>
        <w:t>2021年本年收入合计414.5143万元，其中：一般公共预算</w:t>
      </w:r>
      <w:r>
        <w:rPr>
          <w:rFonts w:hint="eastAsia"/>
          <w:sz w:val="32"/>
          <w:szCs w:val="32"/>
        </w:rPr>
        <w:t>。</w:t>
      </w:r>
    </w:p>
    <w:p>
      <w:pPr>
        <w:pStyle w:val="3"/>
        <w:spacing w:before="93"/>
        <w:rPr>
          <w:rFonts w:ascii="仿宋" w:hAnsi="仿宋" w:eastAsia="仿宋" w:cs="仿宋"/>
          <w:sz w:val="32"/>
          <w:szCs w:val="32"/>
        </w:rPr>
      </w:pPr>
      <w:r>
        <w:rPr>
          <w:rFonts w:hint="eastAsia" w:ascii="仿宋" w:hAnsi="仿宋" w:eastAsia="仿宋" w:cs="仿宋"/>
          <w:sz w:val="32"/>
          <w:szCs w:val="32"/>
        </w:rPr>
        <w:t>财政拨款收入414.5143万元，占100%；政府性基金预算财政拨款收入0万元，占0%；国有资本经营预算财政拨款收入0万元，占0%；上级补助收入0万元，占0%；营业收入0万元，占比0%；经营收入0万元，占比0%；附属单位上缴收入0万元，占0%；其他收入0万元，占0%。</w:t>
      </w:r>
    </w:p>
    <w:p>
      <w:pPr>
        <w:pStyle w:val="3"/>
        <w:spacing w:before="93"/>
      </w:pPr>
      <w:r>
        <w:rPr>
          <w:rFonts w:hint="eastAsia"/>
        </w:rPr>
        <w:object>
          <v:shape id="_x0000_i1026" o:spt="75" alt="" type="#_x0000_t75" style="height:222pt;width:366pt;" o:ole="t" filled="f" o:preferrelative="t" stroked="f" coordsize="21600,21600">
            <v:path/>
            <v:fill on="f" focussize="0,0"/>
            <v:stroke on="f"/>
            <v:imagedata r:id="rId9" o:title=""/>
            <o:lock v:ext="edit" aspectratio="t"/>
            <w10:wrap type="none"/>
            <w10:anchorlock/>
          </v:shape>
          <o:OLEObject Type="Embed" ProgID="Excel.Sheet.8" ShapeID="_x0000_i1026" DrawAspect="Content" ObjectID="_1468075726" r:id="rId8">
            <o:LockedField>false</o:LockedField>
          </o:OLEObject>
        </w:object>
      </w:r>
    </w:p>
    <w:p>
      <w:pPr>
        <w:pStyle w:val="3"/>
        <w:spacing w:before="93"/>
        <w:jc w:val="center"/>
      </w:pPr>
      <w:r>
        <w:rPr>
          <w:rFonts w:hint="eastAsia"/>
        </w:rPr>
        <w:t>（图2：收入结构图）</w:t>
      </w:r>
    </w:p>
    <w:p>
      <w:pPr>
        <w:pStyle w:val="3"/>
        <w:spacing w:before="93"/>
        <w:ind w:left="640"/>
        <w:outlineLvl w:val="1"/>
        <w:rPr>
          <w:rFonts w:ascii="仿宋" w:hAnsi="仿宋" w:eastAsia="仿宋" w:cs="仿宋"/>
          <w:sz w:val="32"/>
          <w:szCs w:val="32"/>
        </w:rPr>
      </w:pPr>
      <w:bookmarkStart w:id="28" w:name="_Toc3403"/>
      <w:r>
        <w:rPr>
          <w:rFonts w:hint="eastAsia" w:ascii="仿宋" w:hAnsi="仿宋" w:eastAsia="仿宋" w:cs="仿宋"/>
          <w:b/>
          <w:bCs/>
          <w:sz w:val="32"/>
          <w:szCs w:val="32"/>
        </w:rPr>
        <w:t>三、支出决算情况说明</w:t>
      </w:r>
      <w:bookmarkEnd w:id="28"/>
    </w:p>
    <w:p>
      <w:pPr>
        <w:pStyle w:val="3"/>
        <w:spacing w:before="93"/>
        <w:ind w:firstLine="600"/>
        <w:rPr>
          <w:rFonts w:ascii="仿宋" w:hAnsi="仿宋" w:eastAsia="仿宋" w:cs="仿宋"/>
          <w:sz w:val="32"/>
          <w:szCs w:val="32"/>
        </w:rPr>
      </w:pPr>
      <w:r>
        <w:rPr>
          <w:rFonts w:hint="eastAsia" w:ascii="仿宋" w:hAnsi="仿宋" w:eastAsia="仿宋" w:cs="仿宋"/>
          <w:sz w:val="32"/>
          <w:szCs w:val="32"/>
        </w:rPr>
        <w:t>2021年本年支出合计414.5143万元，其中：基本支出387.6603万元，占93.52%；项目支出26.8540万元，占6.48%；上缴上级支出0万元，占0%；经营支出0万元，占0%；对附属单位补助支出0万元，占0%。</w:t>
      </w:r>
    </w:p>
    <w:p>
      <w:pPr>
        <w:pStyle w:val="3"/>
        <w:spacing w:before="93"/>
        <w:ind w:firstLine="600"/>
      </w:pPr>
      <w:r>
        <w:object>
          <v:shape id="_x0000_i1027" o:spt="75" alt="" type="#_x0000_t75" style="height:222pt;width:366pt;" o:ole="t" filled="f" o:preferrelative="t" stroked="f" coordsize="21600,21600">
            <v:path/>
            <v:fill on="f" focussize="0,0"/>
            <v:stroke on="f"/>
            <v:imagedata r:id="rId11" o:title=""/>
            <o:lock v:ext="edit" aspectratio="t"/>
            <w10:wrap type="none"/>
            <w10:anchorlock/>
          </v:shape>
          <o:OLEObject Type="Embed" ProgID="Excel.Sheet.8" ShapeID="_x0000_i1027" DrawAspect="Content" ObjectID="_1468075727" r:id="rId10">
            <o:LockedField>false</o:LockedField>
          </o:OLEObject>
        </w:object>
      </w:r>
    </w:p>
    <w:p>
      <w:pPr>
        <w:pStyle w:val="3"/>
        <w:spacing w:before="93"/>
        <w:ind w:firstLine="600"/>
        <w:jc w:val="center"/>
      </w:pPr>
      <w:r>
        <w:t>（图3：支出结构图）</w:t>
      </w:r>
    </w:p>
    <w:p>
      <w:pPr>
        <w:spacing w:line="600" w:lineRule="exact"/>
        <w:ind w:left="640"/>
        <w:outlineLvl w:val="1"/>
        <w:rPr>
          <w:rStyle w:val="20"/>
          <w:rFonts w:ascii="宋体" w:hAnsi="宋体" w:cs="宋体"/>
          <w:bCs w:val="0"/>
        </w:rPr>
      </w:pPr>
      <w:bookmarkStart w:id="29" w:name="_Toc2255"/>
      <w:r>
        <w:rPr>
          <w:rFonts w:hint="eastAsia" w:ascii="宋体" w:hAnsi="宋体" w:cs="宋体"/>
          <w:b/>
          <w:sz w:val="32"/>
          <w:szCs w:val="32"/>
        </w:rPr>
        <w:t>四、一</w:t>
      </w:r>
      <w:r>
        <w:rPr>
          <w:rStyle w:val="20"/>
          <w:rFonts w:hint="eastAsia" w:ascii="宋体" w:hAnsi="宋体" w:cs="宋体"/>
          <w:bCs w:val="0"/>
        </w:rPr>
        <w:t>般公共预算</w:t>
      </w:r>
      <w:r>
        <w:rPr>
          <w:rFonts w:hint="eastAsia" w:ascii="宋体" w:hAnsi="宋体" w:cs="宋体"/>
          <w:sz w:val="32"/>
          <w:szCs w:val="32"/>
        </w:rPr>
        <w:t>财政拨款支出决算情况说明</w:t>
      </w:r>
      <w:bookmarkEnd w:id="29"/>
      <w:bookmarkStart w:id="30" w:name="_Toc15377209"/>
      <w:bookmarkStart w:id="31" w:name="_Toc15396607"/>
    </w:p>
    <w:p>
      <w:pPr>
        <w:spacing w:line="600" w:lineRule="exact"/>
        <w:ind w:firstLine="640" w:firstLineChars="200"/>
        <w:rPr>
          <w:rStyle w:val="20"/>
          <w:rFonts w:ascii="宋体" w:hAnsi="宋体" w:cs="宋体"/>
          <w:bCs w:val="0"/>
        </w:rPr>
      </w:pPr>
      <w:r>
        <w:rPr>
          <w:rFonts w:hint="eastAsia" w:ascii="仿宋" w:hAnsi="仿宋" w:eastAsia="仿宋"/>
          <w:sz w:val="32"/>
          <w:szCs w:val="32"/>
        </w:rPr>
        <w:t>2021年度收、支总计414.5143万元。与2020年相比，收、支总计各增加17.9559万元，增长4.53</w:t>
      </w:r>
      <w:r>
        <w:rPr>
          <w:rFonts w:ascii="仿宋" w:hAnsi="仿宋" w:eastAsia="仿宋"/>
          <w:sz w:val="32"/>
          <w:szCs w:val="32"/>
        </w:rPr>
        <w:t>%</w:t>
      </w:r>
      <w:r>
        <w:rPr>
          <w:rFonts w:hint="eastAsia" w:ascii="仿宋" w:hAnsi="仿宋" w:eastAsia="仿宋"/>
          <w:sz w:val="32"/>
          <w:szCs w:val="32"/>
        </w:rPr>
        <w:t>。主要变动原因是</w:t>
      </w:r>
      <w:r>
        <w:rPr>
          <w:rFonts w:hint="eastAsia" w:ascii="仿宋_GB2312" w:hAnsi="仿宋" w:eastAsia="仿宋_GB2312"/>
          <w:sz w:val="32"/>
          <w:szCs w:val="32"/>
        </w:rPr>
        <w:t>政府投入增加。</w:t>
      </w:r>
    </w:p>
    <w:p>
      <w:pPr>
        <w:pStyle w:val="3"/>
        <w:spacing w:before="93"/>
        <w:rPr>
          <w:sz w:val="28"/>
          <w:szCs w:val="28"/>
        </w:rPr>
      </w:pPr>
      <w:bookmarkStart w:id="111" w:name="_GoBack"/>
      <w:r>
        <w:rPr>
          <w:rFonts w:hint="eastAsia"/>
          <w:sz w:val="28"/>
          <w:szCs w:val="28"/>
        </w:rPr>
        <w:object>
          <v:shape id="_x0000_i1028" o:spt="75" alt="" type="#_x0000_t75" style="height:222pt;width:368.4pt;" o:ole="t" filled="f" o:preferrelative="t" stroked="f" coordsize="21600,21600">
            <v:path/>
            <v:fill on="f" focussize="0,0"/>
            <v:stroke on="f"/>
            <v:imagedata r:id="rId7" o:title=""/>
            <o:lock v:ext="edit" aspectratio="t"/>
            <w10:wrap type="none"/>
            <w10:anchorlock/>
          </v:shape>
          <o:OLEObject Type="Embed" ProgID="Excel.Sheet.8" ShapeID="_x0000_i1028" DrawAspect="Content" ObjectID="_1468075728" r:id="rId12">
            <o:LockedField>false</o:LockedField>
          </o:OLEObject>
        </w:object>
      </w:r>
      <w:bookmarkEnd w:id="111"/>
    </w:p>
    <w:p>
      <w:pPr>
        <w:spacing w:line="600" w:lineRule="exact"/>
        <w:ind w:firstLine="640" w:firstLineChars="200"/>
        <w:jc w:val="center"/>
      </w:pPr>
      <w:r>
        <w:rPr>
          <w:rFonts w:hint="eastAsia" w:ascii="仿宋" w:hAnsi="仿宋" w:eastAsia="仿宋"/>
          <w:color w:val="000000"/>
          <w:sz w:val="32"/>
          <w:szCs w:val="32"/>
        </w:rPr>
        <w:t>（图</w:t>
      </w:r>
      <w:r>
        <w:rPr>
          <w:rFonts w:ascii="仿宋" w:hAnsi="仿宋" w:eastAsia="仿宋"/>
          <w:color w:val="000000"/>
          <w:sz w:val="32"/>
          <w:szCs w:val="32"/>
        </w:rPr>
        <w:t>4</w:t>
      </w:r>
      <w:r>
        <w:rPr>
          <w:rFonts w:hint="eastAsia" w:ascii="仿宋" w:hAnsi="仿宋" w:eastAsia="仿宋"/>
          <w:color w:val="000000"/>
          <w:sz w:val="32"/>
          <w:szCs w:val="32"/>
        </w:rPr>
        <w:t>：财政拨款收、支决算总计变动情况）</w:t>
      </w:r>
    </w:p>
    <w:p>
      <w:pPr>
        <w:spacing w:line="600" w:lineRule="exact"/>
        <w:ind w:left="640"/>
        <w:outlineLvl w:val="1"/>
        <w:rPr>
          <w:rStyle w:val="20"/>
          <w:rFonts w:ascii="宋体" w:hAnsi="宋体" w:cs="宋体"/>
          <w:b w:val="0"/>
        </w:rPr>
      </w:pPr>
      <w:bookmarkStart w:id="32" w:name="_Toc25547"/>
      <w:r>
        <w:rPr>
          <w:rFonts w:hint="eastAsia" w:ascii="黑体" w:hAnsi="黑体" w:eastAsia="黑体"/>
          <w:b/>
          <w:bCs/>
          <w:color w:val="000000"/>
          <w:sz w:val="32"/>
          <w:szCs w:val="32"/>
        </w:rPr>
        <w:t>五、一</w:t>
      </w:r>
      <w:r>
        <w:rPr>
          <w:rStyle w:val="16"/>
          <w:rFonts w:hint="eastAsia" w:ascii="黑体" w:hAnsi="黑体" w:eastAsia="黑体"/>
        </w:rPr>
        <w:t>般公共预算</w:t>
      </w:r>
      <w:r>
        <w:rPr>
          <w:rFonts w:hint="eastAsia" w:ascii="黑体" w:hAnsi="黑体" w:eastAsia="黑体"/>
          <w:b/>
          <w:bCs/>
          <w:sz w:val="32"/>
          <w:szCs w:val="32"/>
        </w:rPr>
        <w:t>财政拨款支出决算情况说明</w:t>
      </w:r>
      <w:bookmarkEnd w:id="30"/>
      <w:bookmarkEnd w:id="31"/>
      <w:bookmarkEnd w:id="32"/>
    </w:p>
    <w:p>
      <w:pPr>
        <w:pStyle w:val="3"/>
        <w:spacing w:before="93"/>
        <w:ind w:left="640"/>
        <w:rPr>
          <w:rStyle w:val="20"/>
          <w:rFonts w:ascii="宋体" w:hAnsi="宋体" w:cs="宋体"/>
          <w:bCs w:val="0"/>
        </w:rPr>
      </w:pPr>
      <w:bookmarkStart w:id="33" w:name="_Toc3952"/>
      <w:r>
        <w:rPr>
          <w:rStyle w:val="20"/>
          <w:rFonts w:hint="eastAsia" w:ascii="宋体" w:hAnsi="宋体" w:cs="宋体"/>
          <w:bCs w:val="0"/>
        </w:rPr>
        <w:t>（一）一般公共预算</w:t>
      </w:r>
      <w:r>
        <w:rPr>
          <w:rFonts w:hint="eastAsia" w:ascii="宋体" w:hAnsi="宋体" w:cs="宋体"/>
          <w:b/>
          <w:sz w:val="32"/>
          <w:szCs w:val="32"/>
        </w:rPr>
        <w:t>财政拨款支出决算结构情况</w:t>
      </w:r>
    </w:p>
    <w:bookmarkEnd w:id="33"/>
    <w:p>
      <w:pPr>
        <w:pStyle w:val="3"/>
        <w:spacing w:before="93"/>
        <w:ind w:left="640"/>
        <w:rPr>
          <w:rStyle w:val="20"/>
          <w:rFonts w:ascii="仿宋" w:hAnsi="仿宋" w:eastAsia="仿宋" w:cs="仿宋"/>
          <w:b w:val="0"/>
        </w:rPr>
      </w:pPr>
      <w:bookmarkStart w:id="34" w:name="_Toc10022"/>
      <w:r>
        <w:rPr>
          <w:rStyle w:val="20"/>
          <w:rFonts w:hint="eastAsia" w:ascii="仿宋" w:hAnsi="仿宋" w:eastAsia="仿宋" w:cs="仿宋"/>
          <w:b w:val="0"/>
        </w:rPr>
        <w:t>2021年一般公共预算</w:t>
      </w:r>
      <w:r>
        <w:rPr>
          <w:rFonts w:hint="eastAsia" w:ascii="仿宋" w:hAnsi="仿宋" w:eastAsia="仿宋" w:cs="仿宋"/>
        </w:rPr>
        <w:t>财政拨款支出</w:t>
      </w:r>
      <w:bookmarkEnd w:id="34"/>
      <w:r>
        <w:rPr>
          <w:rFonts w:hint="eastAsia" w:ascii="仿宋" w:hAnsi="仿宋" w:eastAsia="仿宋" w:cs="仿宋"/>
          <w:sz w:val="32"/>
          <w:szCs w:val="32"/>
        </w:rPr>
        <w:t>414.5143</w:t>
      </w:r>
      <w:r>
        <w:rPr>
          <w:rStyle w:val="20"/>
          <w:rFonts w:hint="eastAsia" w:ascii="仿宋" w:hAnsi="仿宋" w:eastAsia="仿宋" w:cs="仿宋"/>
          <w:b w:val="0"/>
        </w:rPr>
        <w:t>万元，主</w:t>
      </w:r>
      <w:bookmarkStart w:id="35" w:name="_Toc24264"/>
      <w:r>
        <w:rPr>
          <w:rStyle w:val="20"/>
          <w:rFonts w:hint="eastAsia" w:ascii="仿宋" w:hAnsi="仿宋" w:eastAsia="仿宋" w:cs="仿宋"/>
          <w:b w:val="0"/>
        </w:rPr>
        <w:t>要用于以下方面</w:t>
      </w:r>
      <w:r>
        <w:t>：</w:t>
      </w:r>
      <w:r>
        <w:rPr>
          <w:rStyle w:val="20"/>
          <w:rFonts w:hint="eastAsia" w:ascii="仿宋" w:hAnsi="仿宋" w:eastAsia="仿宋" w:cs="仿宋"/>
          <w:b w:val="0"/>
        </w:rPr>
        <w:t>一般公共服务（类）支出0万元，占0%；教育支出</w:t>
      </w:r>
      <w:r>
        <w:rPr>
          <w:rFonts w:hint="eastAsia" w:ascii="仿宋" w:hAnsi="仿宋" w:eastAsia="仿宋" w:cs="仿宋"/>
        </w:rPr>
        <w:t>（类</w:t>
      </w:r>
      <w:r>
        <w:rPr>
          <w:rStyle w:val="20"/>
          <w:rFonts w:hint="eastAsia" w:ascii="仿宋" w:hAnsi="仿宋" w:eastAsia="仿宋" w:cs="仿宋"/>
          <w:b w:val="0"/>
        </w:rPr>
        <w:t>）333.9719万元，占80.57%；科学技术（类）支出0万元，占0%；文化旅游体育与传媒（类）支出0万元，占0%；社会保障和就业（类）支出33.8592万元，占8.17%；卫生健康支出20.0398万元，占4.83%；农林水</w:t>
      </w:r>
      <w:r>
        <w:rPr>
          <w:rFonts w:hint="eastAsia" w:ascii="仿宋" w:hAnsi="仿宋" w:eastAsia="仿宋" w:cs="仿宋"/>
        </w:rPr>
        <w:t>（类）支出</w:t>
      </w:r>
      <w:r>
        <w:rPr>
          <w:rStyle w:val="20"/>
          <w:rFonts w:hint="eastAsia" w:ascii="仿宋" w:hAnsi="仿宋" w:eastAsia="仿宋" w:cs="仿宋"/>
          <w:b w:val="0"/>
        </w:rPr>
        <w:t>1.25万元，占0.3%；住房保障支出25.3934万元，占6.13%。</w:t>
      </w:r>
      <w:bookmarkEnd w:id="35"/>
    </w:p>
    <w:p>
      <w:pPr>
        <w:pStyle w:val="3"/>
        <w:spacing w:before="93"/>
        <w:ind w:left="640"/>
        <w:rPr>
          <w:rStyle w:val="20"/>
          <w:rFonts w:ascii="宋体" w:hAnsi="宋体" w:cs="宋体"/>
          <w:b w:val="0"/>
        </w:rPr>
      </w:pPr>
      <w:r>
        <w:rPr>
          <w:rStyle w:val="20"/>
          <w:rFonts w:hint="eastAsia" w:ascii="宋体" w:hAnsi="宋体" w:cs="宋体"/>
          <w:b w:val="0"/>
        </w:rPr>
        <w:object>
          <v:shape id="_x0000_i1029" o:spt="75" alt="" type="#_x0000_t75" style="height:254.4pt;width:366pt;" o:ole="t" filled="f" o:preferrelative="t" stroked="f" coordsize="21600,21600">
            <v:path/>
            <v:fill on="f" focussize="0,0"/>
            <v:stroke on="f"/>
            <v:imagedata r:id="rId14" o:title=""/>
            <o:lock v:ext="edit" aspectratio="t"/>
            <w10:wrap type="none"/>
            <w10:anchorlock/>
          </v:shape>
          <o:OLEObject Type="Embed" ProgID="Excel.Sheet.8" ShapeID="_x0000_i1029" DrawAspect="Content" ObjectID="_1468075729" r:id="rId13">
            <o:LockedField>false</o:LockedField>
          </o:OLEObject>
        </w:object>
      </w:r>
    </w:p>
    <w:p>
      <w:pPr>
        <w:pStyle w:val="3"/>
        <w:spacing w:before="93"/>
        <w:ind w:left="640"/>
        <w:rPr>
          <w:rStyle w:val="20"/>
          <w:rFonts w:ascii="宋体" w:hAnsi="宋体" w:cs="宋体"/>
          <w:b w:val="0"/>
        </w:rPr>
      </w:pPr>
    </w:p>
    <w:p>
      <w:pPr>
        <w:pStyle w:val="3"/>
        <w:spacing w:before="93"/>
        <w:ind w:left="640"/>
        <w:rPr>
          <w:rStyle w:val="20"/>
          <w:rFonts w:ascii="宋体" w:hAnsi="宋体" w:cs="宋体"/>
          <w:b w:val="0"/>
        </w:rPr>
      </w:pPr>
      <w:bookmarkStart w:id="36" w:name="_Toc3973"/>
      <w:r>
        <w:rPr>
          <w:rStyle w:val="20"/>
          <w:rFonts w:hint="eastAsia" w:ascii="宋体" w:hAnsi="宋体" w:cs="宋体"/>
          <w:b w:val="0"/>
        </w:rPr>
        <w:t>（图4：一般公共预算</w:t>
      </w:r>
      <w:r>
        <w:rPr>
          <w:rFonts w:hint="eastAsia" w:ascii="宋体" w:hAnsi="宋体" w:cs="宋体"/>
        </w:rPr>
        <w:t>财政拨款支出决算结构）</w:t>
      </w:r>
    </w:p>
    <w:bookmarkEnd w:id="36"/>
    <w:p>
      <w:pPr>
        <w:pStyle w:val="3"/>
        <w:spacing w:before="93"/>
        <w:ind w:left="640"/>
        <w:rPr>
          <w:rStyle w:val="20"/>
          <w:rFonts w:ascii="宋体" w:hAnsi="宋体" w:cs="宋体"/>
          <w:bCs w:val="0"/>
        </w:rPr>
      </w:pPr>
      <w:bookmarkStart w:id="37" w:name="_Toc14996"/>
      <w:r>
        <w:rPr>
          <w:rStyle w:val="20"/>
          <w:rFonts w:hint="eastAsia" w:ascii="宋体" w:hAnsi="宋体" w:cs="宋体"/>
          <w:bCs w:val="0"/>
        </w:rPr>
        <w:t>（二）一般公共预算</w:t>
      </w:r>
      <w:r>
        <w:rPr>
          <w:rFonts w:hint="eastAsia" w:ascii="宋体" w:hAnsi="宋体" w:cs="宋体"/>
          <w:b/>
        </w:rPr>
        <w:t>财政拨款支出决算具体情况</w:t>
      </w:r>
    </w:p>
    <w:bookmarkEnd w:id="37"/>
    <w:p>
      <w:pPr>
        <w:pStyle w:val="3"/>
        <w:spacing w:before="93"/>
        <w:ind w:left="640"/>
        <w:rPr>
          <w:rStyle w:val="20"/>
          <w:rFonts w:ascii="仿宋" w:hAnsi="仿宋" w:eastAsia="仿宋" w:cs="仿宋"/>
          <w:b w:val="0"/>
        </w:rPr>
      </w:pPr>
      <w:bookmarkStart w:id="38" w:name="_Toc29956"/>
      <w:r>
        <w:rPr>
          <w:rStyle w:val="20"/>
          <w:rFonts w:hint="eastAsia" w:ascii="仿宋" w:hAnsi="仿宋" w:eastAsia="仿宋" w:cs="仿宋"/>
          <w:b w:val="0"/>
        </w:rPr>
        <w:t>2021年一般公共预算</w:t>
      </w:r>
      <w:r>
        <w:rPr>
          <w:rFonts w:hint="eastAsia" w:ascii="仿宋" w:hAnsi="仿宋" w:eastAsia="仿宋" w:cs="仿宋"/>
        </w:rPr>
        <w:t>支出决算数为414.5143万元</w:t>
      </w:r>
      <w:bookmarkEnd w:id="38"/>
      <w:bookmarkStart w:id="39" w:name="_Toc30858"/>
      <w:r>
        <w:rPr>
          <w:rStyle w:val="20"/>
          <w:rFonts w:hint="eastAsia" w:ascii="仿宋" w:hAnsi="仿宋" w:eastAsia="仿宋" w:cs="仿宋"/>
          <w:b w:val="0"/>
        </w:rPr>
        <w:t>。其中：</w:t>
      </w:r>
      <w:bookmarkEnd w:id="39"/>
    </w:p>
    <w:p>
      <w:pPr>
        <w:spacing w:line="600" w:lineRule="exact"/>
        <w:ind w:firstLine="643" w:firstLineChars="200"/>
        <w:rPr>
          <w:rStyle w:val="20"/>
          <w:rFonts w:ascii="宋体" w:hAnsi="宋体" w:cs="宋体"/>
          <w:b w:val="0"/>
          <w:u w:val="none" w:color="909090"/>
          <w:shd w:val="clear" w:fill="auto"/>
        </w:rPr>
      </w:pPr>
      <w:r>
        <w:rPr>
          <w:rStyle w:val="11"/>
          <w:rFonts w:ascii="仿宋" w:hAnsi="仿宋" w:eastAsia="仿宋"/>
          <w:bCs/>
          <w:sz w:val="32"/>
          <w:szCs w:val="32"/>
        </w:rPr>
        <w:t>1.</w:t>
      </w:r>
      <w:r>
        <w:rPr>
          <w:rStyle w:val="11"/>
          <w:rFonts w:hint="eastAsia" w:ascii="仿宋" w:hAnsi="仿宋" w:eastAsia="仿宋"/>
          <w:bCs/>
          <w:sz w:val="32"/>
          <w:szCs w:val="32"/>
        </w:rPr>
        <w:t>一般公共服务（类）财政事务（款）事业运行（项）</w:t>
      </w:r>
      <w:r>
        <w:rPr>
          <w:rStyle w:val="11"/>
          <w:rFonts w:ascii="仿宋" w:hAnsi="仿宋" w:eastAsia="仿宋"/>
          <w:bCs/>
          <w:sz w:val="32"/>
          <w:szCs w:val="32"/>
          <w:u w:val="none" w:color="909090"/>
          <w:shd w:val="clear" w:fill="auto"/>
        </w:rPr>
        <w:t>:</w:t>
      </w:r>
      <w:r>
        <w:rPr>
          <w:rStyle w:val="11"/>
          <w:rFonts w:hint="eastAsia" w:ascii="仿宋" w:hAnsi="仿宋" w:eastAsia="仿宋"/>
          <w:b w:val="0"/>
          <w:bCs/>
          <w:sz w:val="32"/>
          <w:szCs w:val="32"/>
          <w:u w:val="none" w:color="909090"/>
          <w:shd w:val="clear" w:fill="auto"/>
        </w:rPr>
        <w:t>支出</w:t>
      </w:r>
      <w:r>
        <w:rPr>
          <w:rFonts w:hint="eastAsia" w:ascii="仿宋" w:hAnsi="仿宋" w:eastAsia="仿宋"/>
          <w:bCs/>
          <w:sz w:val="32"/>
          <w:szCs w:val="32"/>
          <w:u w:val="none" w:color="909090"/>
          <w:shd w:val="clear" w:fill="auto"/>
        </w:rPr>
        <w:t>决</w:t>
      </w:r>
      <w:r>
        <w:rPr>
          <w:rStyle w:val="11"/>
          <w:rFonts w:hint="eastAsia" w:ascii="仿宋" w:hAnsi="仿宋" w:eastAsia="仿宋"/>
          <w:b w:val="0"/>
          <w:bCs/>
          <w:sz w:val="32"/>
          <w:szCs w:val="32"/>
          <w:u w:val="none" w:color="909090"/>
          <w:shd w:val="clear" w:fill="auto"/>
        </w:rPr>
        <w:t>算</w:t>
      </w:r>
      <w:r>
        <w:rPr>
          <w:rFonts w:hint="eastAsia" w:ascii="仿宋" w:hAnsi="仿宋" w:eastAsia="仿宋"/>
          <w:bCs/>
          <w:sz w:val="32"/>
          <w:szCs w:val="32"/>
          <w:u w:val="none" w:color="909090"/>
          <w:shd w:val="clear" w:fill="auto"/>
        </w:rPr>
        <w:t>为</w:t>
      </w:r>
      <w:r>
        <w:rPr>
          <w:rStyle w:val="11"/>
          <w:rFonts w:hint="eastAsia" w:ascii="仿宋" w:hAnsi="仿宋" w:eastAsia="仿宋"/>
          <w:b w:val="0"/>
          <w:bCs/>
          <w:sz w:val="32"/>
          <w:szCs w:val="32"/>
          <w:u w:val="none" w:color="909090"/>
          <w:shd w:val="clear" w:fill="auto"/>
        </w:rPr>
        <w:t>0万元。</w:t>
      </w:r>
    </w:p>
    <w:p>
      <w:pPr>
        <w:pStyle w:val="3"/>
        <w:spacing w:before="93"/>
        <w:ind w:left="640"/>
        <w:rPr>
          <w:rFonts w:hint="eastAsia" w:ascii="仿宋" w:hAnsi="仿宋" w:eastAsia="仿宋" w:cs="仿宋"/>
          <w:sz w:val="32"/>
          <w:szCs w:val="32"/>
        </w:rPr>
      </w:pPr>
      <w:bookmarkStart w:id="40" w:name="_Toc25700"/>
      <w:r>
        <w:rPr>
          <w:rStyle w:val="20"/>
          <w:rFonts w:hint="eastAsia" w:ascii="宋体" w:hAnsi="宋体" w:cs="宋体"/>
          <w:bCs w:val="0"/>
          <w:u w:val="none" w:color="909090"/>
          <w:shd w:val="clear" w:fill="auto"/>
        </w:rPr>
        <w:t>2.教育（类）普通教育（款）</w:t>
      </w:r>
      <w:r>
        <w:rPr>
          <w:rStyle w:val="20"/>
          <w:rFonts w:hint="eastAsia" w:ascii="宋体" w:hAnsi="宋体" w:cs="宋体"/>
          <w:bCs w:val="0"/>
        </w:rPr>
        <w:t xml:space="preserve">小学教育（项）: </w:t>
      </w:r>
      <w:r>
        <w:rPr>
          <w:rFonts w:hint="eastAsia" w:ascii="仿宋" w:hAnsi="仿宋" w:eastAsia="仿宋" w:cs="仿宋"/>
          <w:sz w:val="32"/>
          <w:szCs w:val="32"/>
        </w:rPr>
        <w:t>支出</w:t>
      </w:r>
      <w:r>
        <w:rPr>
          <w:rFonts w:hint="eastAsia" w:ascii="仿宋" w:hAnsi="仿宋" w:eastAsia="仿宋" w:cs="仿宋"/>
          <w:sz w:val="32"/>
          <w:szCs w:val="32"/>
          <w:u w:val="none" w:color="FFB03A"/>
          <w:shd w:val="clear" w:fill="auto"/>
        </w:rPr>
        <w:t>决</w:t>
      </w:r>
      <w:bookmarkEnd w:id="40"/>
      <w:bookmarkStart w:id="41" w:name="_Toc20677"/>
      <w:r>
        <w:rPr>
          <w:rFonts w:hint="eastAsia" w:ascii="仿宋" w:hAnsi="仿宋" w:eastAsia="仿宋" w:cs="仿宋"/>
          <w:sz w:val="32"/>
          <w:szCs w:val="32"/>
          <w:u w:val="none" w:color="FFB03A"/>
          <w:shd w:val="clear" w:fill="auto"/>
        </w:rPr>
        <w:t>算</w:t>
      </w:r>
      <w:r>
        <w:rPr>
          <w:rFonts w:hint="eastAsia" w:ascii="仿宋" w:hAnsi="仿宋" w:eastAsia="仿宋" w:cs="仿宋"/>
          <w:sz w:val="32"/>
          <w:szCs w:val="32"/>
        </w:rPr>
        <w:t>为333.9719万元，完成预算的</w:t>
      </w:r>
      <w:r>
        <w:rPr>
          <w:rFonts w:hint="eastAsia" w:ascii="仿宋" w:hAnsi="仿宋" w:eastAsia="仿宋" w:cs="仿宋"/>
          <w:sz w:val="32"/>
          <w:szCs w:val="32"/>
        </w:rPr>
        <w:t>100%，决算数等于预算数。</w:t>
      </w:r>
      <w:bookmarkEnd w:id="41"/>
    </w:p>
    <w:p>
      <w:pPr>
        <w:spacing w:line="600" w:lineRule="exact"/>
        <w:ind w:firstLine="643" w:firstLineChars="200"/>
        <w:rPr>
          <w:rFonts w:ascii="仿宋" w:hAnsi="仿宋" w:eastAsia="仿宋"/>
          <w:b/>
          <w:sz w:val="32"/>
          <w:szCs w:val="32"/>
        </w:rPr>
      </w:pPr>
      <w:r>
        <w:rPr>
          <w:rStyle w:val="11"/>
          <w:rFonts w:ascii="仿宋" w:hAnsi="仿宋" w:eastAsia="仿宋"/>
          <w:bCs/>
          <w:sz w:val="32"/>
          <w:szCs w:val="32"/>
        </w:rPr>
        <w:t>3.</w:t>
      </w:r>
      <w:r>
        <w:rPr>
          <w:rStyle w:val="11"/>
          <w:rFonts w:hint="eastAsia" w:ascii="仿宋" w:hAnsi="仿宋" w:eastAsia="仿宋"/>
          <w:bCs/>
          <w:sz w:val="32"/>
          <w:szCs w:val="32"/>
        </w:rPr>
        <w:t>科学技术（类）科学技术（款）科学技术（项）</w:t>
      </w:r>
      <w:r>
        <w:rPr>
          <w:rStyle w:val="11"/>
          <w:rFonts w:ascii="仿宋" w:hAnsi="仿宋" w:eastAsia="仿宋"/>
          <w:bCs/>
          <w:sz w:val="32"/>
          <w:szCs w:val="32"/>
        </w:rPr>
        <w:t>:</w:t>
      </w:r>
      <w:r>
        <w:rPr>
          <w:rStyle w:val="11"/>
          <w:rFonts w:hint="eastAsia" w:ascii="仿宋" w:hAnsi="仿宋" w:eastAsia="仿宋"/>
          <w:b w:val="0"/>
          <w:bCs/>
          <w:sz w:val="32"/>
          <w:szCs w:val="32"/>
        </w:rPr>
        <w:t>支出</w:t>
      </w:r>
      <w:r>
        <w:rPr>
          <w:rFonts w:hint="eastAsia" w:ascii="仿宋" w:hAnsi="仿宋" w:eastAsia="仿宋"/>
          <w:bCs/>
          <w:sz w:val="32"/>
          <w:szCs w:val="32"/>
        </w:rPr>
        <w:t>决</w:t>
      </w:r>
      <w:r>
        <w:rPr>
          <w:rStyle w:val="11"/>
          <w:rFonts w:hint="eastAsia" w:ascii="仿宋" w:hAnsi="仿宋" w:eastAsia="仿宋"/>
          <w:b w:val="0"/>
          <w:bCs/>
          <w:sz w:val="32"/>
          <w:szCs w:val="32"/>
        </w:rPr>
        <w:t>算</w:t>
      </w:r>
      <w:r>
        <w:rPr>
          <w:rFonts w:hint="eastAsia" w:ascii="仿宋" w:hAnsi="仿宋" w:eastAsia="仿宋"/>
          <w:bCs/>
          <w:sz w:val="32"/>
          <w:szCs w:val="32"/>
        </w:rPr>
        <w:t>为</w:t>
      </w:r>
      <w:r>
        <w:rPr>
          <w:rStyle w:val="11"/>
          <w:rFonts w:hint="eastAsia" w:ascii="仿宋" w:hAnsi="仿宋" w:eastAsia="仿宋"/>
          <w:b w:val="0"/>
          <w:bCs/>
          <w:sz w:val="32"/>
          <w:szCs w:val="32"/>
        </w:rPr>
        <w:t>0万元。</w:t>
      </w:r>
    </w:p>
    <w:p>
      <w:pPr>
        <w:spacing w:line="600" w:lineRule="exact"/>
        <w:ind w:firstLine="643" w:firstLineChars="200"/>
        <w:rPr>
          <w:rStyle w:val="20"/>
          <w:rFonts w:ascii="宋体" w:hAnsi="宋体" w:cs="宋体"/>
          <w:b w:val="0"/>
        </w:rPr>
      </w:pPr>
      <w:r>
        <w:rPr>
          <w:rStyle w:val="11"/>
          <w:rFonts w:ascii="仿宋" w:hAnsi="仿宋" w:eastAsia="仿宋"/>
          <w:bCs/>
          <w:sz w:val="32"/>
          <w:szCs w:val="32"/>
        </w:rPr>
        <w:t>4.</w:t>
      </w:r>
      <w:r>
        <w:rPr>
          <w:rStyle w:val="11"/>
          <w:rFonts w:hint="eastAsia" w:ascii="仿宋" w:hAnsi="仿宋" w:eastAsia="仿宋"/>
          <w:bCs/>
          <w:sz w:val="32"/>
          <w:szCs w:val="32"/>
        </w:rPr>
        <w:t>文化旅游体育与传媒（类）文化（款）其他文化和旅游（项）</w:t>
      </w:r>
      <w:r>
        <w:rPr>
          <w:rStyle w:val="11"/>
          <w:rFonts w:ascii="仿宋" w:hAnsi="仿宋" w:eastAsia="仿宋"/>
          <w:bCs/>
          <w:sz w:val="32"/>
          <w:szCs w:val="32"/>
        </w:rPr>
        <w:t>:</w:t>
      </w:r>
      <w:r>
        <w:rPr>
          <w:rStyle w:val="11"/>
          <w:rFonts w:hint="eastAsia" w:ascii="仿宋" w:hAnsi="仿宋" w:eastAsia="仿宋"/>
          <w:b w:val="0"/>
          <w:bCs/>
          <w:sz w:val="32"/>
          <w:szCs w:val="32"/>
        </w:rPr>
        <w:t>支出</w:t>
      </w:r>
      <w:r>
        <w:rPr>
          <w:rFonts w:hint="eastAsia" w:ascii="仿宋" w:hAnsi="仿宋" w:eastAsia="仿宋"/>
          <w:bCs/>
          <w:sz w:val="32"/>
          <w:szCs w:val="32"/>
        </w:rPr>
        <w:t>决</w:t>
      </w:r>
      <w:r>
        <w:rPr>
          <w:rStyle w:val="11"/>
          <w:rFonts w:hint="eastAsia" w:ascii="仿宋" w:hAnsi="仿宋" w:eastAsia="仿宋"/>
          <w:b w:val="0"/>
          <w:bCs/>
          <w:sz w:val="32"/>
          <w:szCs w:val="32"/>
        </w:rPr>
        <w:t>算</w:t>
      </w:r>
      <w:r>
        <w:rPr>
          <w:rFonts w:hint="eastAsia" w:ascii="仿宋" w:hAnsi="仿宋" w:eastAsia="仿宋"/>
          <w:bCs/>
          <w:sz w:val="32"/>
          <w:szCs w:val="32"/>
        </w:rPr>
        <w:t>为</w:t>
      </w:r>
      <w:r>
        <w:rPr>
          <w:rStyle w:val="11"/>
          <w:rFonts w:hint="eastAsia" w:ascii="仿宋" w:hAnsi="仿宋" w:eastAsia="仿宋"/>
          <w:b w:val="0"/>
          <w:bCs/>
          <w:sz w:val="32"/>
          <w:szCs w:val="32"/>
        </w:rPr>
        <w:t>0万元。</w:t>
      </w:r>
    </w:p>
    <w:p>
      <w:pPr>
        <w:pStyle w:val="3"/>
        <w:spacing w:before="93"/>
        <w:ind w:left="640"/>
        <w:rPr>
          <w:rStyle w:val="20"/>
          <w:rFonts w:ascii="仿宋" w:hAnsi="仿宋" w:eastAsia="仿宋" w:cs="仿宋"/>
          <w:bCs w:val="0"/>
        </w:rPr>
      </w:pPr>
      <w:bookmarkStart w:id="42" w:name="_Toc582"/>
      <w:r>
        <w:rPr>
          <w:rStyle w:val="20"/>
          <w:rFonts w:hint="eastAsia" w:ascii="仿宋" w:hAnsi="仿宋" w:eastAsia="仿宋" w:cs="仿宋"/>
          <w:bCs w:val="0"/>
        </w:rPr>
        <w:t>5.社会保障和就业（类）行政事业单位养老保险（款）</w:t>
      </w:r>
    </w:p>
    <w:bookmarkEnd w:id="42"/>
    <w:p>
      <w:pPr>
        <w:pStyle w:val="3"/>
        <w:spacing w:before="93"/>
        <w:rPr>
          <w:rStyle w:val="20"/>
          <w:rFonts w:ascii="仿宋" w:hAnsi="仿宋" w:eastAsia="仿宋" w:cs="仿宋"/>
          <w:b w:val="0"/>
        </w:rPr>
      </w:pPr>
      <w:bookmarkStart w:id="43" w:name="_Toc13959"/>
      <w:r>
        <w:rPr>
          <w:rStyle w:val="20"/>
          <w:rFonts w:hint="eastAsia" w:ascii="仿宋" w:hAnsi="仿宋" w:eastAsia="仿宋" w:cs="仿宋"/>
          <w:bCs w:val="0"/>
        </w:rPr>
        <w:t>机关事业单位基本养老保险（项）:</w:t>
      </w:r>
      <w:r>
        <w:rPr>
          <w:rStyle w:val="20"/>
          <w:rFonts w:hint="eastAsia" w:ascii="仿宋" w:hAnsi="仿宋" w:eastAsia="仿宋" w:cs="仿宋"/>
          <w:b w:val="0"/>
        </w:rPr>
        <w:t>支出</w:t>
      </w:r>
      <w:r>
        <w:rPr>
          <w:rFonts w:hint="eastAsia" w:ascii="仿宋" w:hAnsi="仿宋" w:eastAsia="仿宋" w:cs="仿宋"/>
        </w:rPr>
        <w:t>决</w:t>
      </w:r>
      <w:r>
        <w:rPr>
          <w:rStyle w:val="20"/>
          <w:rFonts w:hint="eastAsia" w:ascii="仿宋" w:hAnsi="仿宋" w:eastAsia="仿宋" w:cs="仿宋"/>
          <w:b w:val="0"/>
        </w:rPr>
        <w:t>算为33.8592万元，完成预算100%，决算</w:t>
      </w:r>
      <w:r>
        <w:rPr>
          <w:rFonts w:hint="eastAsia" w:ascii="仿宋" w:hAnsi="仿宋" w:eastAsia="仿宋" w:cs="仿宋"/>
        </w:rPr>
        <w:t>数等于预算数。</w:t>
      </w:r>
    </w:p>
    <w:bookmarkEnd w:id="43"/>
    <w:p>
      <w:pPr>
        <w:pStyle w:val="3"/>
        <w:spacing w:before="93"/>
        <w:ind w:left="640"/>
        <w:rPr>
          <w:rStyle w:val="20"/>
          <w:rFonts w:ascii="仿宋" w:hAnsi="仿宋" w:eastAsia="仿宋" w:cs="仿宋"/>
          <w:b w:val="0"/>
          <w:bCs w:val="0"/>
        </w:rPr>
      </w:pPr>
      <w:bookmarkStart w:id="44" w:name="_Toc31075"/>
      <w:r>
        <w:rPr>
          <w:rStyle w:val="20"/>
          <w:rFonts w:hint="eastAsia" w:ascii="仿宋" w:hAnsi="仿宋" w:eastAsia="仿宋" w:cs="仿宋"/>
          <w:bCs w:val="0"/>
        </w:rPr>
        <w:t>6.</w:t>
      </w:r>
      <w:r>
        <w:rPr>
          <w:rStyle w:val="20"/>
          <w:rFonts w:hint="eastAsia" w:ascii="仿宋" w:hAnsi="仿宋" w:eastAsia="仿宋" w:cs="仿宋"/>
          <w:b w:val="0"/>
          <w:bCs w:val="0"/>
        </w:rPr>
        <w:t>卫生健康（类）行政事业单位医疗</w:t>
      </w:r>
      <w:r>
        <w:rPr>
          <w:rFonts w:hint="eastAsia" w:ascii="仿宋" w:hAnsi="仿宋" w:eastAsia="仿宋" w:cs="仿宋"/>
          <w:b/>
        </w:rPr>
        <w:t>（款）事业单位</w:t>
      </w:r>
      <w:bookmarkEnd w:id="44"/>
      <w:bookmarkStart w:id="45" w:name="_Toc9250"/>
      <w:r>
        <w:rPr>
          <w:rFonts w:hint="eastAsia" w:ascii="仿宋" w:hAnsi="仿宋" w:eastAsia="仿宋" w:cs="仿宋"/>
          <w:b/>
        </w:rPr>
        <w:t>医疗（项</w:t>
      </w:r>
      <w:r>
        <w:rPr>
          <w:rStyle w:val="20"/>
          <w:rFonts w:hint="eastAsia" w:ascii="仿宋" w:hAnsi="仿宋" w:eastAsia="仿宋" w:cs="仿宋"/>
          <w:bCs w:val="0"/>
        </w:rPr>
        <w:t>）:</w:t>
      </w:r>
      <w:r>
        <w:rPr>
          <w:rStyle w:val="20"/>
          <w:rFonts w:hint="eastAsia" w:ascii="仿宋" w:hAnsi="仿宋" w:eastAsia="仿宋" w:cs="仿宋"/>
          <w:b w:val="0"/>
        </w:rPr>
        <w:t>支出</w:t>
      </w:r>
      <w:r>
        <w:rPr>
          <w:rFonts w:hint="eastAsia" w:ascii="仿宋" w:hAnsi="仿宋" w:eastAsia="仿宋" w:cs="仿宋"/>
        </w:rPr>
        <w:t>决</w:t>
      </w:r>
      <w:r>
        <w:rPr>
          <w:rStyle w:val="20"/>
          <w:rFonts w:hint="eastAsia" w:ascii="仿宋" w:hAnsi="仿宋" w:eastAsia="仿宋" w:cs="仿宋"/>
          <w:b w:val="0"/>
        </w:rPr>
        <w:t>算为20.0398万元，完成预算100%，决算</w:t>
      </w:r>
      <w:r>
        <w:rPr>
          <w:rFonts w:hint="eastAsia" w:ascii="仿宋" w:hAnsi="仿宋" w:eastAsia="仿宋" w:cs="仿宋"/>
        </w:rPr>
        <w:t>数等于预算数。</w:t>
      </w:r>
    </w:p>
    <w:bookmarkEnd w:id="45"/>
    <w:p>
      <w:pPr>
        <w:pStyle w:val="3"/>
        <w:spacing w:before="93"/>
        <w:ind w:left="640"/>
        <w:rPr>
          <w:rStyle w:val="20"/>
          <w:rFonts w:ascii="仿宋" w:hAnsi="仿宋" w:eastAsia="仿宋" w:cs="仿宋"/>
          <w:bCs w:val="0"/>
        </w:rPr>
      </w:pPr>
      <w:bookmarkStart w:id="46" w:name="_Toc21338"/>
      <w:r>
        <w:rPr>
          <w:rStyle w:val="20"/>
          <w:rFonts w:hint="eastAsia" w:ascii="仿宋" w:hAnsi="仿宋" w:eastAsia="仿宋" w:cs="仿宋"/>
          <w:bCs w:val="0"/>
        </w:rPr>
        <w:t>7.农林水支出</w:t>
      </w:r>
      <w:r>
        <w:rPr>
          <w:rFonts w:hint="eastAsia" w:ascii="仿宋" w:hAnsi="仿宋" w:eastAsia="仿宋" w:cs="仿宋"/>
          <w:b/>
        </w:rPr>
        <w:t>（类）扶贫（款</w:t>
      </w:r>
      <w:r>
        <w:rPr>
          <w:rStyle w:val="20"/>
          <w:rFonts w:hint="eastAsia" w:ascii="仿宋" w:hAnsi="仿宋" w:eastAsia="仿宋" w:cs="仿宋"/>
          <w:bCs w:val="0"/>
        </w:rPr>
        <w:t>）其他扶贫支出</w:t>
      </w:r>
      <w:r>
        <w:rPr>
          <w:rFonts w:hint="eastAsia" w:ascii="仿宋" w:hAnsi="仿宋" w:eastAsia="仿宋" w:cs="仿宋"/>
          <w:b/>
        </w:rPr>
        <w:t>（项</w:t>
      </w:r>
      <w:r>
        <w:rPr>
          <w:rStyle w:val="20"/>
          <w:rFonts w:hint="eastAsia" w:ascii="仿宋" w:hAnsi="仿宋" w:eastAsia="仿宋" w:cs="仿宋"/>
          <w:bCs w:val="0"/>
        </w:rPr>
        <w:t>）:</w:t>
      </w:r>
    </w:p>
    <w:bookmarkEnd w:id="46"/>
    <w:p>
      <w:pPr>
        <w:pStyle w:val="3"/>
        <w:spacing w:before="93"/>
        <w:rPr>
          <w:rStyle w:val="20"/>
          <w:rFonts w:ascii="仿宋" w:hAnsi="仿宋" w:eastAsia="仿宋" w:cs="仿宋"/>
          <w:b w:val="0"/>
          <w:u w:val="thick" w:color="909090"/>
          <w:shd w:val="clear" w:fill="DDDDDD"/>
        </w:rPr>
      </w:pPr>
      <w:bookmarkStart w:id="47" w:name="_Toc23299"/>
      <w:r>
        <w:rPr>
          <w:rStyle w:val="20"/>
          <w:rFonts w:hint="eastAsia" w:ascii="仿宋" w:hAnsi="仿宋" w:eastAsia="仿宋" w:cs="仿宋"/>
          <w:b w:val="0"/>
        </w:rPr>
        <w:t>支出</w:t>
      </w:r>
      <w:r>
        <w:rPr>
          <w:rFonts w:hint="eastAsia" w:ascii="仿宋" w:hAnsi="仿宋" w:eastAsia="仿宋" w:cs="仿宋"/>
        </w:rPr>
        <w:t>决</w:t>
      </w:r>
      <w:r>
        <w:rPr>
          <w:rStyle w:val="20"/>
          <w:rFonts w:hint="eastAsia" w:ascii="仿宋" w:hAnsi="仿宋" w:eastAsia="仿宋" w:cs="仿宋"/>
          <w:b w:val="0"/>
        </w:rPr>
        <w:t>算为1.25万元，完成预算的100%</w:t>
      </w:r>
      <w:r>
        <w:rPr>
          <w:rStyle w:val="20"/>
          <w:rFonts w:hint="eastAsia" w:ascii="仿宋" w:hAnsi="仿宋" w:eastAsia="仿宋" w:cs="仿宋"/>
          <w:b w:val="0"/>
          <w:u w:val="thick" w:color="909090"/>
          <w:shd w:val="clear" w:fill="DDDDDD"/>
        </w:rPr>
        <w:t>，决算</w:t>
      </w:r>
      <w:r>
        <w:rPr>
          <w:rFonts w:hint="eastAsia" w:ascii="仿宋" w:hAnsi="仿宋" w:eastAsia="仿宋" w:cs="仿宋"/>
          <w:u w:val="thick" w:color="909090"/>
          <w:shd w:val="clear" w:fill="DDDDDD"/>
        </w:rPr>
        <w:t>数等于预算数。</w:t>
      </w:r>
    </w:p>
    <w:bookmarkEnd w:id="47"/>
    <w:p>
      <w:pPr>
        <w:pStyle w:val="3"/>
        <w:spacing w:before="93"/>
        <w:ind w:left="640"/>
        <w:rPr>
          <w:rStyle w:val="20"/>
          <w:rFonts w:ascii="仿宋" w:hAnsi="仿宋" w:eastAsia="仿宋" w:cs="仿宋"/>
          <w:b w:val="0"/>
          <w:bCs w:val="0"/>
        </w:rPr>
      </w:pPr>
      <w:bookmarkStart w:id="48" w:name="_Toc22790"/>
      <w:r>
        <w:rPr>
          <w:rStyle w:val="20"/>
          <w:rFonts w:hint="eastAsia" w:ascii="仿宋" w:hAnsi="仿宋" w:eastAsia="仿宋" w:cs="仿宋"/>
          <w:bCs w:val="0"/>
          <w:u w:val="thick" w:color="909090"/>
          <w:shd w:val="clear" w:fill="DDDDDD"/>
        </w:rPr>
        <w:t>8. 住房保障支出（类）住</w:t>
      </w:r>
      <w:r>
        <w:rPr>
          <w:rStyle w:val="20"/>
          <w:rFonts w:hint="eastAsia" w:ascii="仿宋" w:hAnsi="仿宋" w:eastAsia="仿宋" w:cs="仿宋"/>
          <w:bCs w:val="0"/>
        </w:rPr>
        <w:t>房改革支出（款）  住房公</w:t>
      </w:r>
    </w:p>
    <w:bookmarkEnd w:id="48"/>
    <w:p>
      <w:pPr>
        <w:pStyle w:val="3"/>
        <w:spacing w:before="93"/>
        <w:rPr>
          <w:rStyle w:val="20"/>
          <w:rFonts w:ascii="仿宋" w:hAnsi="仿宋" w:eastAsia="仿宋" w:cs="仿宋"/>
          <w:b w:val="0"/>
        </w:rPr>
      </w:pPr>
      <w:bookmarkStart w:id="49" w:name="_Toc24882"/>
      <w:r>
        <w:rPr>
          <w:rStyle w:val="20"/>
          <w:rFonts w:hint="eastAsia" w:ascii="仿宋" w:hAnsi="仿宋" w:eastAsia="仿宋" w:cs="仿宋"/>
          <w:b w:val="0"/>
          <w:bCs w:val="0"/>
        </w:rPr>
        <w:t>基金</w:t>
      </w:r>
      <w:r>
        <w:rPr>
          <w:rFonts w:hint="eastAsia" w:ascii="仿宋" w:hAnsi="仿宋" w:eastAsia="仿宋" w:cs="仿宋"/>
          <w:b/>
        </w:rPr>
        <w:t>（项</w:t>
      </w:r>
      <w:r>
        <w:rPr>
          <w:rStyle w:val="20"/>
          <w:rFonts w:hint="eastAsia" w:ascii="仿宋" w:hAnsi="仿宋" w:eastAsia="仿宋" w:cs="仿宋"/>
          <w:bCs w:val="0"/>
        </w:rPr>
        <w:t>）:</w:t>
      </w:r>
      <w:r>
        <w:rPr>
          <w:rStyle w:val="20"/>
          <w:rFonts w:hint="eastAsia" w:ascii="仿宋" w:hAnsi="仿宋" w:eastAsia="仿宋" w:cs="仿宋"/>
          <w:b w:val="0"/>
        </w:rPr>
        <w:t>支出</w:t>
      </w:r>
      <w:r>
        <w:rPr>
          <w:rFonts w:hint="eastAsia" w:ascii="仿宋" w:hAnsi="仿宋" w:eastAsia="仿宋" w:cs="仿宋"/>
        </w:rPr>
        <w:t>决</w:t>
      </w:r>
      <w:r>
        <w:rPr>
          <w:rStyle w:val="20"/>
          <w:rFonts w:hint="eastAsia" w:ascii="仿宋" w:hAnsi="仿宋" w:eastAsia="仿宋" w:cs="仿宋"/>
          <w:b w:val="0"/>
        </w:rPr>
        <w:t>算为25.3934万元，完成预算的100%，决算</w:t>
      </w:r>
      <w:r>
        <w:rPr>
          <w:rFonts w:hint="eastAsia" w:ascii="仿宋" w:hAnsi="仿宋" w:eastAsia="仿宋" w:cs="仿宋"/>
        </w:rPr>
        <w:t>数等于预算数。</w:t>
      </w:r>
    </w:p>
    <w:bookmarkEnd w:id="49"/>
    <w:p>
      <w:pPr>
        <w:pStyle w:val="3"/>
        <w:spacing w:before="93"/>
        <w:outlineLvl w:val="1"/>
        <w:rPr>
          <w:rStyle w:val="20"/>
          <w:rFonts w:ascii="宋体" w:hAnsi="宋体" w:cs="宋体"/>
          <w:b w:val="0"/>
        </w:rPr>
      </w:pPr>
      <w:bookmarkStart w:id="50" w:name="_Toc16002"/>
      <w:r>
        <w:rPr>
          <w:rStyle w:val="20"/>
          <w:rFonts w:hint="eastAsia" w:ascii="宋体" w:hAnsi="宋体" w:cs="宋体"/>
          <w:bCs w:val="0"/>
        </w:rPr>
        <w:t>六、一般公共预算</w:t>
      </w:r>
      <w:r>
        <w:rPr>
          <w:rFonts w:hint="eastAsia" w:ascii="宋体" w:hAnsi="宋体" w:cs="宋体"/>
        </w:rPr>
        <w:t>财政拨款基本支出决算情况说明</w:t>
      </w:r>
      <w:bookmarkEnd w:id="50"/>
      <w:r>
        <w:rPr>
          <w:rStyle w:val="20"/>
          <w:rFonts w:hint="eastAsia" w:ascii="宋体" w:hAnsi="宋体" w:cs="宋体"/>
          <w:b w:val="0"/>
        </w:rPr>
        <w:tab/>
      </w:r>
    </w:p>
    <w:p>
      <w:pPr>
        <w:pStyle w:val="3"/>
        <w:spacing w:before="93"/>
        <w:ind w:firstLine="640" w:firstLineChars="200"/>
        <w:rPr>
          <w:rStyle w:val="20"/>
          <w:rFonts w:ascii="仿宋" w:hAnsi="仿宋" w:eastAsia="仿宋" w:cs="仿宋"/>
          <w:b w:val="0"/>
        </w:rPr>
      </w:pPr>
      <w:bookmarkStart w:id="51" w:name="_Toc4041"/>
      <w:r>
        <w:rPr>
          <w:rStyle w:val="20"/>
          <w:rFonts w:hint="eastAsia" w:ascii="仿宋" w:hAnsi="仿宋" w:eastAsia="仿宋" w:cs="仿宋"/>
          <w:b w:val="0"/>
        </w:rPr>
        <w:t>2021年一般公共预算</w:t>
      </w:r>
      <w:r>
        <w:rPr>
          <w:rFonts w:hint="eastAsia" w:ascii="仿宋" w:hAnsi="仿宋" w:eastAsia="仿宋" w:cs="仿宋"/>
        </w:rPr>
        <w:t>财政拨款基本支出</w:t>
      </w:r>
      <w:bookmarkEnd w:id="51"/>
      <w:r>
        <w:rPr>
          <w:rFonts w:hint="eastAsia" w:ascii="仿宋" w:hAnsi="仿宋" w:eastAsia="仿宋" w:cs="仿宋"/>
          <w:sz w:val="32"/>
          <w:szCs w:val="32"/>
        </w:rPr>
        <w:t>414.5143</w:t>
      </w:r>
      <w:r>
        <w:rPr>
          <w:rStyle w:val="20"/>
          <w:rFonts w:hint="eastAsia" w:ascii="仿宋" w:hAnsi="仿宋" w:eastAsia="仿宋" w:cs="仿宋"/>
          <w:b w:val="0"/>
        </w:rPr>
        <w:t>万元，其中：</w:t>
      </w:r>
    </w:p>
    <w:p>
      <w:pPr>
        <w:pStyle w:val="3"/>
        <w:spacing w:before="93"/>
        <w:ind w:firstLine="640" w:firstLineChars="200"/>
        <w:rPr>
          <w:rStyle w:val="20"/>
          <w:rFonts w:ascii="仿宋" w:hAnsi="仿宋" w:eastAsia="仿宋" w:cs="仿宋"/>
          <w:b w:val="0"/>
        </w:rPr>
      </w:pPr>
      <w:bookmarkStart w:id="52" w:name="_Toc16446"/>
      <w:r>
        <w:rPr>
          <w:rStyle w:val="20"/>
          <w:rFonts w:hint="eastAsia" w:ascii="仿宋" w:hAnsi="仿宋" w:eastAsia="仿宋" w:cs="仿宋"/>
          <w:b w:val="0"/>
        </w:rPr>
        <w:t>人员经费364.6972万元，主</w:t>
      </w:r>
      <w:r>
        <w:rPr>
          <w:rFonts w:hint="eastAsia" w:ascii="仿宋" w:hAnsi="仿宋" w:eastAsia="仿宋" w:cs="仿宋"/>
        </w:rPr>
        <w:t>要包括：基本工资、津贴补贴、奖金、伙食补助费、绩</w:t>
      </w:r>
      <w:r>
        <w:rPr>
          <w:rStyle w:val="20"/>
          <w:rFonts w:hint="eastAsia" w:ascii="仿宋" w:hAnsi="仿宋" w:eastAsia="仿宋" w:cs="仿宋"/>
          <w:b w:val="0"/>
        </w:rPr>
        <w:t>效</w:t>
      </w:r>
      <w:r>
        <w:rPr>
          <w:rFonts w:hint="eastAsia" w:ascii="仿宋" w:hAnsi="仿宋" w:eastAsia="仿宋" w:cs="仿宋"/>
        </w:rPr>
        <w:t>工资、机关事业单位基本养老保险缴费、职业年金缴费、其他社会保障缴费、其他工资福利支出、离休费、退休费、抚恤金、生活补助、医疗补助、奖励金、住房公积金、其他对个人和家庭的补助支出等。</w:t>
      </w:r>
    </w:p>
    <w:bookmarkEnd w:id="52"/>
    <w:p>
      <w:pPr>
        <w:pStyle w:val="3"/>
        <w:spacing w:before="93"/>
        <w:rPr>
          <w:rStyle w:val="20"/>
          <w:rFonts w:ascii="仿宋" w:hAnsi="仿宋" w:eastAsia="仿宋" w:cs="仿宋"/>
          <w:b w:val="0"/>
        </w:rPr>
      </w:pPr>
      <w:bookmarkStart w:id="53" w:name="_Toc25136"/>
      <w:r>
        <w:rPr>
          <w:rStyle w:val="20"/>
          <w:rFonts w:hint="eastAsia" w:ascii="仿宋" w:hAnsi="仿宋" w:eastAsia="仿宋" w:cs="仿宋"/>
          <w:b w:val="0"/>
        </w:rPr>
        <w:t>　　公用经费22.9631万元，主</w:t>
      </w:r>
      <w:r>
        <w:rPr>
          <w:rFonts w:hint="eastAsia" w:ascii="仿宋" w:hAnsi="仿宋" w:eastAsia="仿宋" w:cs="仿宋"/>
        </w:rPr>
        <w:t>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服务费等。</w:t>
      </w:r>
    </w:p>
    <w:bookmarkEnd w:id="53"/>
    <w:p>
      <w:pPr>
        <w:pStyle w:val="3"/>
        <w:spacing w:before="93"/>
        <w:ind w:firstLine="643" w:firstLineChars="200"/>
        <w:outlineLvl w:val="1"/>
        <w:rPr>
          <w:rStyle w:val="20"/>
          <w:rFonts w:ascii="宋体" w:hAnsi="宋体" w:cs="宋体"/>
          <w:bCs w:val="0"/>
        </w:rPr>
      </w:pPr>
      <w:bookmarkStart w:id="54" w:name="_Toc16855"/>
      <w:r>
        <w:rPr>
          <w:rStyle w:val="20"/>
          <w:rFonts w:hint="eastAsia" w:ascii="宋体" w:hAnsi="宋体" w:cs="宋体"/>
          <w:bCs w:val="0"/>
        </w:rPr>
        <w:t>七、“三公”经费</w:t>
      </w:r>
      <w:r>
        <w:rPr>
          <w:rFonts w:hint="eastAsia" w:ascii="宋体" w:hAnsi="宋体" w:cs="宋体"/>
        </w:rPr>
        <w:t>财政拨款</w:t>
      </w:r>
      <w:r>
        <w:rPr>
          <w:rStyle w:val="20"/>
          <w:rFonts w:hint="eastAsia" w:ascii="宋体" w:hAnsi="宋体" w:cs="宋体"/>
          <w:bCs w:val="0"/>
        </w:rPr>
        <w:t>支出</w:t>
      </w:r>
      <w:r>
        <w:rPr>
          <w:rFonts w:hint="eastAsia" w:ascii="宋体" w:hAnsi="宋体" w:cs="宋体"/>
        </w:rPr>
        <w:t>决</w:t>
      </w:r>
      <w:r>
        <w:rPr>
          <w:rStyle w:val="20"/>
          <w:rFonts w:hint="eastAsia" w:ascii="宋体" w:hAnsi="宋体" w:cs="宋体"/>
          <w:bCs w:val="0"/>
        </w:rPr>
        <w:t>算</w:t>
      </w:r>
      <w:r>
        <w:rPr>
          <w:rFonts w:hint="eastAsia" w:ascii="宋体" w:hAnsi="宋体" w:cs="宋体"/>
        </w:rPr>
        <w:t>情况说明</w:t>
      </w:r>
      <w:bookmarkEnd w:id="54"/>
    </w:p>
    <w:p>
      <w:pPr>
        <w:pStyle w:val="3"/>
        <w:spacing w:before="93"/>
        <w:ind w:firstLine="643" w:firstLineChars="200"/>
        <w:rPr>
          <w:rStyle w:val="20"/>
          <w:rFonts w:ascii="宋体" w:hAnsi="宋体" w:cs="宋体"/>
          <w:bCs w:val="0"/>
        </w:rPr>
      </w:pPr>
      <w:bookmarkStart w:id="55" w:name="_Toc29725"/>
      <w:r>
        <w:rPr>
          <w:rStyle w:val="20"/>
          <w:rFonts w:hint="eastAsia" w:ascii="宋体" w:hAnsi="宋体" w:cs="宋体"/>
          <w:bCs w:val="0"/>
        </w:rPr>
        <w:t>（一）“三公”经费</w:t>
      </w:r>
      <w:r>
        <w:rPr>
          <w:rFonts w:hint="eastAsia" w:ascii="宋体" w:hAnsi="宋体" w:cs="宋体"/>
          <w:b/>
        </w:rPr>
        <w:t>财政拨款</w:t>
      </w:r>
      <w:r>
        <w:rPr>
          <w:rStyle w:val="20"/>
          <w:rFonts w:hint="eastAsia" w:ascii="宋体" w:hAnsi="宋体" w:cs="宋体"/>
          <w:bCs w:val="0"/>
        </w:rPr>
        <w:t>支出</w:t>
      </w:r>
      <w:r>
        <w:rPr>
          <w:rFonts w:hint="eastAsia" w:ascii="宋体" w:hAnsi="宋体" w:cs="宋体"/>
          <w:b/>
        </w:rPr>
        <w:t>决</w:t>
      </w:r>
      <w:r>
        <w:rPr>
          <w:rStyle w:val="20"/>
          <w:rFonts w:hint="eastAsia" w:ascii="宋体" w:hAnsi="宋体" w:cs="宋体"/>
          <w:bCs w:val="0"/>
        </w:rPr>
        <w:t>算</w:t>
      </w:r>
      <w:r>
        <w:rPr>
          <w:rFonts w:hint="eastAsia" w:ascii="宋体" w:hAnsi="宋体" w:cs="宋体"/>
          <w:b/>
        </w:rPr>
        <w:t>总体情况说明</w:t>
      </w:r>
    </w:p>
    <w:bookmarkEnd w:id="55"/>
    <w:p>
      <w:pPr>
        <w:pStyle w:val="3"/>
        <w:spacing w:before="93"/>
        <w:ind w:firstLine="640" w:firstLineChars="200"/>
        <w:rPr>
          <w:rStyle w:val="20"/>
          <w:rFonts w:ascii="仿宋" w:hAnsi="仿宋" w:eastAsia="仿宋" w:cs="仿宋"/>
          <w:b w:val="0"/>
        </w:rPr>
      </w:pPr>
      <w:bookmarkStart w:id="56" w:name="_Toc17549"/>
      <w:r>
        <w:rPr>
          <w:rStyle w:val="20"/>
          <w:rFonts w:hint="eastAsia" w:ascii="仿宋" w:hAnsi="仿宋" w:eastAsia="仿宋" w:cs="仿宋"/>
          <w:b w:val="0"/>
        </w:rPr>
        <w:t>2021年“三公”经费</w:t>
      </w:r>
      <w:r>
        <w:rPr>
          <w:rFonts w:hint="eastAsia" w:ascii="仿宋" w:hAnsi="仿宋" w:eastAsia="仿宋" w:cs="仿宋"/>
        </w:rPr>
        <w:t>财政拨款</w:t>
      </w:r>
      <w:r>
        <w:rPr>
          <w:rStyle w:val="20"/>
          <w:rFonts w:hint="eastAsia" w:ascii="仿宋" w:hAnsi="仿宋" w:eastAsia="仿宋" w:cs="仿宋"/>
          <w:b w:val="0"/>
        </w:rPr>
        <w:t>支出</w:t>
      </w:r>
      <w:r>
        <w:rPr>
          <w:rFonts w:hint="eastAsia" w:ascii="仿宋" w:hAnsi="仿宋" w:eastAsia="仿宋" w:cs="仿宋"/>
        </w:rPr>
        <w:t>决</w:t>
      </w:r>
      <w:r>
        <w:rPr>
          <w:rStyle w:val="20"/>
          <w:rFonts w:hint="eastAsia" w:ascii="仿宋" w:hAnsi="仿宋" w:eastAsia="仿宋" w:cs="仿宋"/>
          <w:b w:val="0"/>
        </w:rPr>
        <w:t>算为0万元，完成预算0%，决算</w:t>
      </w:r>
      <w:r>
        <w:rPr>
          <w:rFonts w:hint="eastAsia" w:ascii="仿宋" w:hAnsi="仿宋" w:eastAsia="仿宋" w:cs="仿宋"/>
        </w:rPr>
        <w:t>数与预算数持平。</w:t>
      </w:r>
    </w:p>
    <w:bookmarkEnd w:id="56"/>
    <w:p>
      <w:pPr>
        <w:pStyle w:val="3"/>
        <w:spacing w:before="93"/>
        <w:ind w:firstLine="643" w:firstLineChars="200"/>
        <w:rPr>
          <w:rStyle w:val="20"/>
          <w:rFonts w:ascii="宋体" w:hAnsi="宋体" w:cs="宋体"/>
          <w:bCs w:val="0"/>
        </w:rPr>
      </w:pPr>
      <w:bookmarkStart w:id="57" w:name="_Toc19622"/>
      <w:r>
        <w:rPr>
          <w:rStyle w:val="20"/>
          <w:rFonts w:hint="eastAsia" w:ascii="宋体" w:hAnsi="宋体" w:cs="宋体"/>
          <w:bCs w:val="0"/>
        </w:rPr>
        <w:t>（二）“三公”经费</w:t>
      </w:r>
      <w:r>
        <w:rPr>
          <w:rFonts w:hint="eastAsia" w:ascii="宋体" w:hAnsi="宋体" w:cs="宋体"/>
          <w:b/>
        </w:rPr>
        <w:t>财政拨款</w:t>
      </w:r>
      <w:r>
        <w:rPr>
          <w:rStyle w:val="20"/>
          <w:rFonts w:hint="eastAsia" w:ascii="宋体" w:hAnsi="宋体" w:cs="宋体"/>
          <w:bCs w:val="0"/>
        </w:rPr>
        <w:t>支出</w:t>
      </w:r>
      <w:r>
        <w:rPr>
          <w:rFonts w:hint="eastAsia" w:ascii="宋体" w:hAnsi="宋体" w:cs="宋体"/>
          <w:b/>
        </w:rPr>
        <w:t>决</w:t>
      </w:r>
      <w:r>
        <w:rPr>
          <w:rStyle w:val="20"/>
          <w:rFonts w:hint="eastAsia" w:ascii="宋体" w:hAnsi="宋体" w:cs="宋体"/>
          <w:bCs w:val="0"/>
        </w:rPr>
        <w:t>算</w:t>
      </w:r>
      <w:r>
        <w:rPr>
          <w:rFonts w:hint="eastAsia" w:ascii="宋体" w:hAnsi="宋体" w:cs="宋体"/>
          <w:b/>
        </w:rPr>
        <w:t>具体情况说明</w:t>
      </w:r>
    </w:p>
    <w:bookmarkEnd w:id="57"/>
    <w:p>
      <w:pPr>
        <w:pStyle w:val="3"/>
        <w:spacing w:before="93"/>
        <w:ind w:firstLine="640" w:firstLineChars="200"/>
        <w:rPr>
          <w:rStyle w:val="20"/>
          <w:rFonts w:ascii="仿宋" w:hAnsi="仿宋" w:eastAsia="仿宋" w:cs="仿宋"/>
          <w:b w:val="0"/>
          <w:bCs w:val="0"/>
        </w:rPr>
      </w:pPr>
      <w:bookmarkStart w:id="58" w:name="_Toc31373"/>
      <w:r>
        <w:rPr>
          <w:rStyle w:val="20"/>
          <w:rFonts w:hint="eastAsia" w:ascii="仿宋" w:hAnsi="仿宋" w:eastAsia="仿宋" w:cs="仿宋"/>
          <w:b w:val="0"/>
          <w:bCs w:val="0"/>
        </w:rPr>
        <w:t>2021年“三公”经费</w:t>
      </w:r>
      <w:r>
        <w:rPr>
          <w:rFonts w:hint="eastAsia" w:ascii="仿宋" w:hAnsi="仿宋" w:eastAsia="仿宋" w:cs="仿宋"/>
        </w:rPr>
        <w:t>财政拨款</w:t>
      </w:r>
      <w:r>
        <w:rPr>
          <w:rStyle w:val="20"/>
          <w:rFonts w:hint="eastAsia" w:ascii="仿宋" w:hAnsi="仿宋" w:eastAsia="仿宋" w:cs="仿宋"/>
          <w:b w:val="0"/>
          <w:bCs w:val="0"/>
        </w:rPr>
        <w:t>支出</w:t>
      </w:r>
      <w:r>
        <w:rPr>
          <w:rFonts w:hint="eastAsia" w:ascii="仿宋" w:hAnsi="仿宋" w:eastAsia="仿宋" w:cs="仿宋"/>
        </w:rPr>
        <w:t>决</w:t>
      </w:r>
      <w:r>
        <w:rPr>
          <w:rStyle w:val="20"/>
          <w:rFonts w:hint="eastAsia" w:ascii="仿宋" w:hAnsi="仿宋" w:eastAsia="仿宋" w:cs="仿宋"/>
          <w:b w:val="0"/>
          <w:bCs w:val="0"/>
        </w:rPr>
        <w:t>算</w:t>
      </w:r>
      <w:r>
        <w:rPr>
          <w:rFonts w:hint="eastAsia" w:ascii="仿宋" w:hAnsi="仿宋" w:eastAsia="仿宋" w:cs="仿宋"/>
        </w:rPr>
        <w:t>中，因公出国（境）费支出决算</w:t>
      </w:r>
      <w:r>
        <w:rPr>
          <w:rStyle w:val="20"/>
          <w:rFonts w:hint="eastAsia" w:ascii="仿宋" w:hAnsi="仿宋" w:eastAsia="仿宋" w:cs="仿宋"/>
          <w:b w:val="0"/>
          <w:bCs w:val="0"/>
        </w:rPr>
        <w:t>0万元，占0%；公务用车购置及运行维护费支出</w:t>
      </w:r>
      <w:r>
        <w:rPr>
          <w:rFonts w:hint="eastAsia" w:ascii="仿宋" w:hAnsi="仿宋" w:eastAsia="仿宋" w:cs="仿宋"/>
        </w:rPr>
        <w:t>决</w:t>
      </w:r>
      <w:r>
        <w:rPr>
          <w:rStyle w:val="20"/>
          <w:rFonts w:hint="eastAsia" w:ascii="仿宋" w:hAnsi="仿宋" w:eastAsia="仿宋" w:cs="仿宋"/>
          <w:b w:val="0"/>
          <w:bCs w:val="0"/>
        </w:rPr>
        <w:t>算0万元，占0%；公务接待费支出</w:t>
      </w:r>
      <w:r>
        <w:rPr>
          <w:rFonts w:hint="eastAsia" w:ascii="仿宋" w:hAnsi="仿宋" w:eastAsia="仿宋" w:cs="仿宋"/>
        </w:rPr>
        <w:t>决</w:t>
      </w:r>
      <w:r>
        <w:rPr>
          <w:rStyle w:val="20"/>
          <w:rFonts w:hint="eastAsia" w:ascii="仿宋" w:hAnsi="仿宋" w:eastAsia="仿宋" w:cs="仿宋"/>
          <w:b w:val="0"/>
          <w:bCs w:val="0"/>
        </w:rPr>
        <w:t>算0万元，占100%。具体情况如下：</w:t>
      </w:r>
    </w:p>
    <w:bookmarkEnd w:id="58"/>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59" w:name="_Toc18161"/>
      <w:r>
        <w:rPr>
          <w:rStyle w:val="20"/>
          <w:rFonts w:hint="eastAsia" w:ascii="仿宋" w:hAnsi="仿宋" w:eastAsia="仿宋" w:cs="仿宋"/>
          <w:b w:val="0"/>
          <w:bCs w:val="0"/>
          <w:kern w:val="0"/>
        </w:rPr>
        <w:t>1.因公出国（境）经费支出0万元，完成预算0%。全年安排因公出国（境）团组0次，出国（境）0人。因公出国（境）支出</w:t>
      </w:r>
      <w:r>
        <w:rPr>
          <w:rFonts w:hint="eastAsia" w:ascii="仿宋" w:hAnsi="仿宋" w:eastAsia="仿宋" w:cs="仿宋"/>
          <w:kern w:val="0"/>
        </w:rPr>
        <w:t>决</w:t>
      </w:r>
      <w:r>
        <w:rPr>
          <w:rStyle w:val="20"/>
          <w:rFonts w:hint="eastAsia" w:ascii="仿宋" w:hAnsi="仿宋" w:eastAsia="仿宋" w:cs="仿宋"/>
          <w:b w:val="0"/>
          <w:bCs w:val="0"/>
          <w:kern w:val="0"/>
        </w:rPr>
        <w:t>算比2020年增加/减少0万元，增长/下降0%。</w:t>
      </w:r>
    </w:p>
    <w:bookmarkEnd w:id="59"/>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60" w:name="_Toc9578"/>
      <w:r>
        <w:rPr>
          <w:rStyle w:val="20"/>
          <w:rFonts w:hint="eastAsia" w:ascii="仿宋" w:hAnsi="仿宋" w:eastAsia="仿宋" w:cs="仿宋"/>
          <w:b w:val="0"/>
          <w:bCs w:val="0"/>
          <w:kern w:val="0"/>
        </w:rPr>
        <w:t>2.公务用车购置及运行维护费支出0万元</w:t>
      </w:r>
      <w:r>
        <w:t>，</w:t>
      </w:r>
      <w:r>
        <w:rPr>
          <w:rStyle w:val="20"/>
          <w:rFonts w:hint="eastAsia" w:ascii="仿宋" w:hAnsi="仿宋" w:eastAsia="仿宋" w:cs="仿宋"/>
          <w:b w:val="0"/>
          <w:bCs w:val="0"/>
          <w:kern w:val="0"/>
        </w:rPr>
        <w:t>完成预算0%。公务用车购置及运行维护费支出</w:t>
      </w:r>
      <w:r>
        <w:rPr>
          <w:rFonts w:hint="eastAsia" w:ascii="仿宋" w:hAnsi="仿宋" w:eastAsia="仿宋" w:cs="仿宋"/>
          <w:kern w:val="0"/>
          <w:sz w:val="32"/>
          <w:szCs w:val="32"/>
        </w:rPr>
        <w:t>决</w:t>
      </w:r>
      <w:r>
        <w:rPr>
          <w:rStyle w:val="20"/>
          <w:rFonts w:hint="eastAsia" w:ascii="仿宋" w:hAnsi="仿宋" w:eastAsia="仿宋" w:cs="仿宋"/>
          <w:b w:val="0"/>
          <w:bCs w:val="0"/>
          <w:kern w:val="0"/>
        </w:rPr>
        <w:t>算比2020年增加/减少0万元，增长/下降0%。</w:t>
      </w:r>
    </w:p>
    <w:bookmarkEnd w:id="60"/>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61" w:name="_Toc11582"/>
      <w:r>
        <w:rPr>
          <w:rStyle w:val="20"/>
          <w:rFonts w:hint="eastAsia" w:ascii="仿宋" w:hAnsi="仿宋" w:eastAsia="仿宋" w:cs="仿宋"/>
          <w:b w:val="0"/>
          <w:bCs w:val="0"/>
          <w:kern w:val="0"/>
        </w:rPr>
        <w:t>其中：公务用车购置支出0万元。全年按规定更新购置公务用车0辆。截至2021年12月底，单位共有公务用车0辆，其中：轿车0辆</w:t>
      </w:r>
      <w:r>
        <w:rPr>
          <w:rFonts w:hint="eastAsia" w:ascii="仿宋" w:hAnsi="仿宋" w:eastAsia="仿宋" w:cs="仿宋"/>
          <w:kern w:val="0"/>
          <w:sz w:val="32"/>
          <w:szCs w:val="32"/>
        </w:rPr>
        <w:t>、越野</w:t>
      </w:r>
      <w:r>
        <w:rPr>
          <w:rStyle w:val="20"/>
          <w:rFonts w:hint="eastAsia" w:ascii="仿宋" w:hAnsi="仿宋" w:eastAsia="仿宋" w:cs="仿宋"/>
          <w:b w:val="0"/>
          <w:bCs w:val="0"/>
          <w:kern w:val="0"/>
        </w:rPr>
        <w:t>车0辆、载客汽车0辆</w:t>
      </w:r>
      <w:r>
        <w:rPr>
          <w:rFonts w:hint="eastAsia" w:ascii="仿宋" w:hAnsi="仿宋" w:eastAsia="仿宋" w:cs="仿宋"/>
          <w:kern w:val="0"/>
          <w:sz w:val="32"/>
          <w:szCs w:val="32"/>
        </w:rPr>
        <w:t>。</w:t>
      </w:r>
    </w:p>
    <w:bookmarkEnd w:id="61"/>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62" w:name="_Toc8568"/>
      <w:r>
        <w:rPr>
          <w:rStyle w:val="20"/>
          <w:rFonts w:hint="eastAsia" w:ascii="仿宋" w:hAnsi="仿宋" w:eastAsia="仿宋" w:cs="仿宋"/>
          <w:b w:val="0"/>
          <w:bCs w:val="0"/>
          <w:kern w:val="0"/>
        </w:rPr>
        <w:t>公务用车运行维护费支出0万元。主要用于</w:t>
      </w:r>
      <w:r>
        <w:rPr>
          <w:rFonts w:hint="eastAsia" w:ascii="仿宋" w:hAnsi="仿宋" w:eastAsia="仿宋" w:cs="仿宋"/>
          <w:kern w:val="0"/>
          <w:sz w:val="32"/>
          <w:szCs w:val="32"/>
        </w:rPr>
        <w:t>所需的公务用车燃料费、维修费、过路过桥费、保险费等支出。</w:t>
      </w:r>
    </w:p>
    <w:bookmarkEnd w:id="62"/>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63" w:name="_Toc348"/>
      <w:r>
        <w:rPr>
          <w:rStyle w:val="20"/>
          <w:rFonts w:hint="eastAsia" w:ascii="仿宋" w:hAnsi="仿宋" w:eastAsia="仿宋" w:cs="仿宋"/>
          <w:b w:val="0"/>
          <w:bCs w:val="0"/>
          <w:kern w:val="0"/>
        </w:rPr>
        <w:t>3.公务接待费支出0万元，完成预算的100%。公务接待支出</w:t>
      </w:r>
      <w:r>
        <w:rPr>
          <w:rFonts w:hint="eastAsia" w:ascii="仿宋" w:hAnsi="仿宋" w:eastAsia="仿宋" w:cs="仿宋"/>
          <w:kern w:val="0"/>
        </w:rPr>
        <w:t>决</w:t>
      </w:r>
      <w:r>
        <w:rPr>
          <w:rStyle w:val="20"/>
          <w:rFonts w:hint="eastAsia" w:ascii="仿宋" w:hAnsi="仿宋" w:eastAsia="仿宋" w:cs="仿宋"/>
          <w:b w:val="0"/>
          <w:bCs w:val="0"/>
          <w:kern w:val="0"/>
        </w:rPr>
        <w:t>算与2020年持平。其中：</w:t>
      </w:r>
    </w:p>
    <w:bookmarkEnd w:id="63"/>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64" w:name="_Toc19687"/>
      <w:r>
        <w:rPr>
          <w:rStyle w:val="20"/>
          <w:rFonts w:hint="eastAsia" w:ascii="仿宋" w:hAnsi="仿宋" w:eastAsia="仿宋" w:cs="仿宋"/>
          <w:b w:val="0"/>
          <w:bCs w:val="0"/>
          <w:kern w:val="0"/>
        </w:rPr>
        <w:t>国内公务接待支出0万元，主要用于</w:t>
      </w:r>
      <w:r>
        <w:rPr>
          <w:rFonts w:hint="eastAsia" w:ascii="仿宋" w:hAnsi="仿宋" w:eastAsia="仿宋" w:cs="仿宋"/>
          <w:kern w:val="0"/>
          <w:sz w:val="32"/>
          <w:szCs w:val="32"/>
        </w:rPr>
        <w:t>执行公务、开展业务活动开支、用餐费用等。国内公务接</w:t>
      </w:r>
      <w:r>
        <w:rPr>
          <w:rStyle w:val="20"/>
          <w:rFonts w:hint="eastAsia" w:ascii="仿宋" w:hAnsi="仿宋" w:eastAsia="仿宋" w:cs="仿宋"/>
          <w:b w:val="0"/>
          <w:bCs w:val="0"/>
          <w:kern w:val="0"/>
        </w:rPr>
        <w:t>待0批次，0人次（不包括陪同人员），共计支出0万元，具体内容包括：相关部门检查指导工作发生的接待支出0万元。</w:t>
      </w:r>
    </w:p>
    <w:bookmarkEnd w:id="64"/>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65" w:name="_Toc1492"/>
      <w:r>
        <w:rPr>
          <w:rStyle w:val="20"/>
          <w:rFonts w:hint="eastAsia" w:ascii="仿宋" w:hAnsi="仿宋" w:eastAsia="仿宋" w:cs="仿宋"/>
          <w:b w:val="0"/>
          <w:bCs w:val="0"/>
          <w:kern w:val="0"/>
        </w:rPr>
        <w:t>外事接待支出0万元，外事接待0批次，0人，共计支出0万元。</w:t>
      </w:r>
    </w:p>
    <w:bookmarkEnd w:id="65"/>
    <w:p>
      <w:pPr>
        <w:pStyle w:val="3"/>
        <w:spacing w:before="93"/>
        <w:ind w:firstLine="643" w:firstLineChars="200"/>
        <w:outlineLvl w:val="1"/>
        <w:rPr>
          <w:rStyle w:val="20"/>
          <w:rFonts w:ascii="宋体" w:hAnsi="宋体" w:cs="宋体"/>
          <w:bCs w:val="0"/>
        </w:rPr>
      </w:pPr>
      <w:bookmarkStart w:id="66" w:name="_Toc12495"/>
      <w:r>
        <w:rPr>
          <w:rStyle w:val="20"/>
          <w:rFonts w:ascii="宋体" w:hAnsi="宋体" w:cs="宋体"/>
          <w:bCs w:val="0"/>
        </w:rPr>
        <w:t>八、政府性基金预算</w:t>
      </w:r>
      <w:r>
        <w:rPr>
          <w:rFonts w:ascii="宋体" w:hAnsi="宋体" w:cs="宋体"/>
          <w:sz w:val="32"/>
          <w:szCs w:val="32"/>
        </w:rPr>
        <w:t>支出决算情况说明</w:t>
      </w:r>
      <w:bookmarkEnd w:id="66"/>
    </w:p>
    <w:p>
      <w:pPr>
        <w:pStyle w:val="3"/>
        <w:spacing w:before="93"/>
        <w:ind w:firstLine="640" w:firstLineChars="200"/>
        <w:rPr>
          <w:rStyle w:val="20"/>
          <w:rFonts w:ascii="仿宋" w:hAnsi="仿宋" w:eastAsia="仿宋" w:cs="仿宋"/>
          <w:b w:val="0"/>
        </w:rPr>
      </w:pPr>
      <w:bookmarkStart w:id="67" w:name="_Toc30023"/>
      <w:r>
        <w:rPr>
          <w:rStyle w:val="20"/>
          <w:rFonts w:hint="eastAsia" w:ascii="仿宋" w:hAnsi="仿宋" w:eastAsia="仿宋" w:cs="仿宋"/>
          <w:b w:val="0"/>
        </w:rPr>
        <w:t>2021年政府性基金预算</w:t>
      </w:r>
      <w:r>
        <w:rPr>
          <w:rFonts w:hint="eastAsia" w:ascii="仿宋" w:hAnsi="仿宋" w:eastAsia="仿宋" w:cs="仿宋"/>
          <w:sz w:val="32"/>
          <w:szCs w:val="32"/>
        </w:rPr>
        <w:t>财政拨款支出</w:t>
      </w:r>
      <w:r>
        <w:rPr>
          <w:rStyle w:val="20"/>
          <w:rFonts w:hint="eastAsia" w:ascii="仿宋" w:hAnsi="仿宋" w:eastAsia="仿宋" w:cs="仿宋"/>
          <w:b w:val="0"/>
        </w:rPr>
        <w:t>0万元。</w:t>
      </w:r>
    </w:p>
    <w:bookmarkEnd w:id="67"/>
    <w:p>
      <w:pPr>
        <w:pStyle w:val="3"/>
        <w:spacing w:before="93"/>
        <w:ind w:firstLine="643" w:firstLineChars="200"/>
        <w:outlineLvl w:val="1"/>
        <w:rPr>
          <w:rStyle w:val="20"/>
          <w:rFonts w:ascii="宋体" w:hAnsi="宋体" w:cs="宋体"/>
          <w:bCs w:val="0"/>
        </w:rPr>
      </w:pPr>
      <w:bookmarkStart w:id="68" w:name="_Toc17297"/>
      <w:r>
        <w:rPr>
          <w:rStyle w:val="20"/>
          <w:rFonts w:ascii="宋体" w:hAnsi="宋体" w:cs="宋体"/>
          <w:bCs w:val="0"/>
        </w:rPr>
        <w:t>九、国有资本经营预算</w:t>
      </w:r>
      <w:r>
        <w:rPr>
          <w:rFonts w:ascii="宋体" w:hAnsi="宋体" w:cs="宋体"/>
          <w:sz w:val="32"/>
          <w:szCs w:val="32"/>
        </w:rPr>
        <w:t>支出决算</w:t>
      </w:r>
      <w:r>
        <w:rPr>
          <w:rFonts w:ascii="宋体" w:hAnsi="宋体" w:cs="宋体"/>
        </w:rPr>
        <w:t>情况说明</w:t>
      </w:r>
      <w:bookmarkEnd w:id="68"/>
    </w:p>
    <w:p>
      <w:pPr>
        <w:pStyle w:val="3"/>
        <w:spacing w:before="93"/>
        <w:ind w:firstLine="640" w:firstLineChars="200"/>
        <w:rPr>
          <w:rStyle w:val="20"/>
          <w:rFonts w:ascii="仿宋" w:hAnsi="仿宋" w:eastAsia="仿宋" w:cs="仿宋"/>
          <w:b w:val="0"/>
        </w:rPr>
      </w:pPr>
      <w:bookmarkStart w:id="69" w:name="_Toc463"/>
      <w:r>
        <w:rPr>
          <w:rStyle w:val="20"/>
          <w:rFonts w:hint="eastAsia" w:ascii="仿宋" w:hAnsi="仿宋" w:eastAsia="仿宋" w:cs="仿宋"/>
          <w:b w:val="0"/>
        </w:rPr>
        <w:t>2021年国有资本经营预算</w:t>
      </w:r>
      <w:r>
        <w:rPr>
          <w:rFonts w:hint="eastAsia" w:ascii="仿宋" w:hAnsi="仿宋" w:eastAsia="仿宋" w:cs="仿宋"/>
        </w:rPr>
        <w:t>财政拨款支出</w:t>
      </w:r>
      <w:r>
        <w:rPr>
          <w:rStyle w:val="20"/>
          <w:rFonts w:hint="eastAsia" w:ascii="仿宋" w:hAnsi="仿宋" w:eastAsia="仿宋" w:cs="仿宋"/>
          <w:b w:val="0"/>
        </w:rPr>
        <w:t>0万元。</w:t>
      </w:r>
    </w:p>
    <w:bookmarkEnd w:id="69"/>
    <w:p>
      <w:pPr>
        <w:pStyle w:val="3"/>
        <w:spacing w:before="93"/>
        <w:ind w:firstLine="643" w:firstLineChars="200"/>
        <w:outlineLvl w:val="1"/>
        <w:rPr>
          <w:rStyle w:val="20"/>
          <w:rFonts w:ascii="宋体" w:hAnsi="宋体" w:cs="宋体"/>
          <w:bCs w:val="0"/>
        </w:rPr>
      </w:pPr>
      <w:bookmarkStart w:id="70" w:name="_Toc5937"/>
      <w:r>
        <w:rPr>
          <w:rStyle w:val="20"/>
          <w:rFonts w:ascii="宋体" w:hAnsi="宋体" w:cs="宋体"/>
          <w:bCs w:val="0"/>
        </w:rPr>
        <w:t>十、其他重要事项的情况说明</w:t>
      </w:r>
      <w:bookmarkEnd w:id="70"/>
    </w:p>
    <w:p>
      <w:pPr>
        <w:pStyle w:val="3"/>
        <w:spacing w:before="93"/>
        <w:ind w:firstLine="643" w:firstLineChars="200"/>
        <w:rPr>
          <w:rStyle w:val="20"/>
          <w:rFonts w:ascii="宋体" w:hAnsi="宋体" w:cs="宋体"/>
          <w:bCs w:val="0"/>
        </w:rPr>
      </w:pPr>
      <w:bookmarkStart w:id="71" w:name="_Toc17514"/>
      <w:r>
        <w:rPr>
          <w:rStyle w:val="20"/>
          <w:rFonts w:ascii="宋体" w:hAnsi="宋体" w:cs="宋体"/>
          <w:bCs w:val="0"/>
        </w:rPr>
        <w:t>（一）机关运行经费支出</w:t>
      </w:r>
      <w:r>
        <w:rPr>
          <w:rFonts w:ascii="宋体" w:hAnsi="宋体" w:cs="宋体"/>
          <w:b/>
        </w:rPr>
        <w:t>情况</w:t>
      </w:r>
    </w:p>
    <w:bookmarkEnd w:id="71"/>
    <w:p>
      <w:pPr>
        <w:pStyle w:val="3"/>
        <w:spacing w:before="93"/>
        <w:ind w:firstLine="640" w:firstLineChars="200"/>
        <w:rPr>
          <w:rStyle w:val="20"/>
          <w:rFonts w:ascii="仿宋" w:hAnsi="仿宋" w:eastAsia="仿宋" w:cs="仿宋"/>
          <w:b w:val="0"/>
        </w:rPr>
      </w:pPr>
      <w:bookmarkStart w:id="72" w:name="_Toc7064"/>
      <w:r>
        <w:rPr>
          <w:rStyle w:val="20"/>
          <w:rFonts w:hint="eastAsia" w:ascii="仿宋" w:hAnsi="仿宋" w:eastAsia="仿宋" w:cs="仿宋"/>
          <w:b w:val="0"/>
        </w:rPr>
        <w:t>2021年，烟溪小学无机关运行经费支出</w:t>
      </w:r>
      <w:r>
        <w:rPr>
          <w:rFonts w:hint="eastAsia" w:ascii="仿宋" w:hAnsi="仿宋" w:eastAsia="仿宋" w:cs="仿宋"/>
        </w:rPr>
        <w:t>。</w:t>
      </w:r>
    </w:p>
    <w:bookmarkEnd w:id="72"/>
    <w:p>
      <w:pPr>
        <w:pStyle w:val="3"/>
        <w:spacing w:before="93"/>
        <w:ind w:firstLine="643" w:firstLineChars="200"/>
        <w:rPr>
          <w:rStyle w:val="20"/>
          <w:rFonts w:ascii="宋体" w:hAnsi="宋体" w:cs="宋体"/>
          <w:bCs w:val="0"/>
        </w:rPr>
      </w:pPr>
      <w:bookmarkStart w:id="73" w:name="_Toc17586"/>
      <w:r>
        <w:rPr>
          <w:rStyle w:val="20"/>
          <w:rFonts w:ascii="宋体" w:hAnsi="宋体" w:cs="宋体"/>
          <w:bCs w:val="0"/>
        </w:rPr>
        <w:t>（二）政府采购支出</w:t>
      </w:r>
      <w:r>
        <w:rPr>
          <w:rFonts w:ascii="宋体" w:hAnsi="宋体" w:cs="宋体"/>
          <w:b/>
        </w:rPr>
        <w:t>情况</w:t>
      </w:r>
    </w:p>
    <w:bookmarkEnd w:id="73"/>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74" w:name="_Toc7141"/>
      <w:r>
        <w:rPr>
          <w:rStyle w:val="20"/>
          <w:rFonts w:hint="eastAsia" w:ascii="仿宋" w:hAnsi="仿宋" w:eastAsia="仿宋" w:cs="仿宋"/>
          <w:b w:val="0"/>
          <w:bCs w:val="0"/>
          <w:kern w:val="0"/>
        </w:rPr>
        <w:t>2021年，烟溪小学无政府采购。其中：政府采购货物支出0万元、政府采购工程支出0万元、政府采购服务支出0万元。授予中小微企业</w:t>
      </w:r>
      <w:r>
        <w:rPr>
          <w:rFonts w:hint="eastAsia" w:ascii="仿宋" w:hAnsi="仿宋" w:eastAsia="仿宋" w:cs="仿宋"/>
          <w:kern w:val="0"/>
          <w:sz w:val="32"/>
          <w:szCs w:val="32"/>
        </w:rPr>
        <w:t>合同金</w:t>
      </w:r>
      <w:r>
        <w:rPr>
          <w:rStyle w:val="20"/>
          <w:rFonts w:hint="eastAsia" w:ascii="仿宋" w:hAnsi="仿宋" w:eastAsia="仿宋" w:cs="仿宋"/>
          <w:b w:val="0"/>
          <w:bCs w:val="0"/>
          <w:kern w:val="0"/>
        </w:rPr>
        <w:t>额0万元，占政府采购支出总额的0%。</w:t>
      </w:r>
    </w:p>
    <w:bookmarkEnd w:id="74"/>
    <w:p>
      <w:pPr>
        <w:pStyle w:val="3"/>
        <w:spacing w:before="93"/>
        <w:ind w:firstLine="643" w:firstLineChars="200"/>
        <w:rPr>
          <w:rStyle w:val="20"/>
          <w:rFonts w:ascii="宋体" w:hAnsi="宋体" w:cs="宋体"/>
          <w:bCs w:val="0"/>
        </w:rPr>
      </w:pPr>
      <w:bookmarkStart w:id="75" w:name="_Toc17271"/>
      <w:r>
        <w:rPr>
          <w:rStyle w:val="20"/>
          <w:rFonts w:ascii="宋体" w:hAnsi="宋体" w:cs="宋体"/>
          <w:bCs w:val="0"/>
        </w:rPr>
        <w:t>（三）国有资产占</w:t>
      </w:r>
      <w:r>
        <w:rPr>
          <w:rFonts w:ascii="宋体" w:hAnsi="宋体" w:cs="宋体"/>
          <w:b/>
          <w:sz w:val="32"/>
          <w:szCs w:val="32"/>
        </w:rPr>
        <w:t>有使用情况</w:t>
      </w:r>
    </w:p>
    <w:bookmarkEnd w:id="75"/>
    <w:p>
      <w:pPr>
        <w:autoSpaceDE w:val="0"/>
        <w:autoSpaceDN w:val="0"/>
        <w:adjustRightInd w:val="0"/>
        <w:spacing w:line="600" w:lineRule="exact"/>
        <w:ind w:firstLine="640" w:firstLineChars="200"/>
        <w:jc w:val="left"/>
        <w:rPr>
          <w:rStyle w:val="20"/>
          <w:rFonts w:ascii="仿宋" w:hAnsi="仿宋" w:eastAsia="仿宋" w:cs="仿宋"/>
          <w:b w:val="0"/>
          <w:bCs w:val="0"/>
          <w:kern w:val="0"/>
        </w:rPr>
      </w:pPr>
      <w:bookmarkStart w:id="76" w:name="_Toc5936"/>
      <w:r>
        <w:rPr>
          <w:rStyle w:val="20"/>
          <w:rFonts w:hint="eastAsia" w:ascii="仿宋" w:hAnsi="仿宋" w:eastAsia="仿宋" w:cs="仿宋"/>
          <w:b w:val="0"/>
          <w:bCs w:val="0"/>
          <w:kern w:val="0"/>
        </w:rPr>
        <w:t>截至2021年12月31日，烟溪小学共有车辆0辆。其中：主</w:t>
      </w:r>
      <w:r>
        <w:rPr>
          <w:rFonts w:hint="eastAsia" w:ascii="仿宋" w:hAnsi="仿宋" w:eastAsia="仿宋" w:cs="仿宋"/>
          <w:kern w:val="0"/>
          <w:sz w:val="32"/>
          <w:szCs w:val="32"/>
        </w:rPr>
        <w:t>要领导干部用</w:t>
      </w:r>
      <w:r>
        <w:rPr>
          <w:rStyle w:val="20"/>
          <w:rFonts w:hint="eastAsia" w:ascii="仿宋" w:hAnsi="仿宋" w:eastAsia="仿宋" w:cs="仿宋"/>
          <w:b w:val="0"/>
          <w:bCs w:val="0"/>
          <w:kern w:val="0"/>
        </w:rPr>
        <w:t>车0辆、机要通信用车0辆、应急保障用车0辆、其他用车0辆，其他用车主</w:t>
      </w:r>
      <w:r>
        <w:rPr>
          <w:rFonts w:hint="eastAsia" w:ascii="仿宋" w:hAnsi="仿宋" w:eastAsia="仿宋" w:cs="仿宋"/>
          <w:kern w:val="0"/>
          <w:sz w:val="32"/>
          <w:szCs w:val="32"/>
        </w:rPr>
        <w:t>要是单</w:t>
      </w:r>
      <w:r>
        <w:rPr>
          <w:rStyle w:val="20"/>
          <w:rFonts w:hint="eastAsia" w:ascii="仿宋" w:hAnsi="仿宋" w:eastAsia="仿宋" w:cs="仿宋"/>
          <w:b w:val="0"/>
          <w:bCs w:val="0"/>
          <w:kern w:val="0"/>
        </w:rPr>
        <w:t>价50万元以上通用设备0台（套），单价100万元以上专用设备0台（套）。</w:t>
      </w:r>
    </w:p>
    <w:bookmarkEnd w:id="76"/>
    <w:p>
      <w:pPr>
        <w:pStyle w:val="3"/>
        <w:spacing w:before="93"/>
        <w:ind w:firstLine="643" w:firstLineChars="200"/>
        <w:rPr>
          <w:rStyle w:val="20"/>
          <w:rFonts w:ascii="宋体" w:hAnsi="宋体" w:cs="宋体"/>
          <w:bCs w:val="0"/>
        </w:rPr>
      </w:pPr>
      <w:bookmarkStart w:id="77" w:name="_Toc1774"/>
      <w:r>
        <w:rPr>
          <w:rStyle w:val="20"/>
          <w:rFonts w:ascii="宋体" w:hAnsi="宋体" w:cs="宋体"/>
          <w:bCs w:val="0"/>
        </w:rPr>
        <w:t>（四）预算</w:t>
      </w:r>
      <w:r>
        <w:rPr>
          <w:rFonts w:ascii="宋体" w:hAnsi="宋体" w:cs="宋体"/>
          <w:b/>
        </w:rPr>
        <w:t>绩</w:t>
      </w:r>
      <w:r>
        <w:rPr>
          <w:rStyle w:val="20"/>
          <w:rFonts w:ascii="宋体" w:hAnsi="宋体" w:cs="宋体"/>
          <w:bCs w:val="0"/>
        </w:rPr>
        <w:t>效</w:t>
      </w:r>
      <w:r>
        <w:rPr>
          <w:rFonts w:ascii="宋体" w:hAnsi="宋体" w:cs="宋体"/>
          <w:b/>
        </w:rPr>
        <w:t>管理情况</w:t>
      </w:r>
    </w:p>
    <w:bookmarkEnd w:id="77"/>
    <w:p>
      <w:pPr>
        <w:pStyle w:val="3"/>
        <w:spacing w:before="93"/>
        <w:ind w:firstLine="640" w:firstLineChars="200"/>
        <w:rPr>
          <w:rStyle w:val="20"/>
          <w:rFonts w:ascii="仿宋" w:hAnsi="仿宋" w:eastAsia="仿宋" w:cs="仿宋"/>
          <w:b w:val="0"/>
        </w:rPr>
      </w:pPr>
      <w:bookmarkStart w:id="78" w:name="_Toc22630"/>
      <w:r>
        <w:rPr>
          <w:rStyle w:val="20"/>
          <w:rFonts w:hint="eastAsia" w:ascii="仿宋" w:hAnsi="仿宋" w:eastAsia="仿宋" w:cs="仿宋"/>
          <w:b w:val="0"/>
        </w:rPr>
        <w:t>根据预算</w:t>
      </w:r>
      <w:r>
        <w:rPr>
          <w:rFonts w:hint="eastAsia" w:ascii="仿宋" w:hAnsi="仿宋" w:eastAsia="仿宋" w:cs="仿宋"/>
        </w:rPr>
        <w:t>绩效管理要求，本单位在</w:t>
      </w:r>
      <w:r>
        <w:rPr>
          <w:rStyle w:val="20"/>
          <w:rFonts w:hint="eastAsia" w:ascii="仿宋" w:hAnsi="仿宋" w:eastAsia="仿宋" w:cs="仿宋"/>
          <w:b w:val="0"/>
        </w:rPr>
        <w:t>2021年度预算</w:t>
      </w:r>
      <w:r>
        <w:rPr>
          <w:rFonts w:hint="eastAsia" w:ascii="仿宋" w:hAnsi="仿宋" w:eastAsia="仿宋" w:cs="仿宋"/>
        </w:rPr>
        <w:t>编制阶段，</w:t>
      </w:r>
      <w:r>
        <w:rPr>
          <w:rStyle w:val="20"/>
          <w:rFonts w:hint="eastAsia" w:ascii="仿宋" w:hAnsi="仿宋" w:eastAsia="仿宋" w:cs="仿宋"/>
          <w:b w:val="0"/>
        </w:rPr>
        <w:t>对5个项目编制了绩效目标，预算</w:t>
      </w:r>
      <w:r>
        <w:rPr>
          <w:rFonts w:hint="eastAsia" w:ascii="仿宋" w:hAnsi="仿宋" w:eastAsia="仿宋" w:cs="仿宋"/>
        </w:rPr>
        <w:t>执行过程中，选取</w:t>
      </w:r>
      <w:r>
        <w:rPr>
          <w:rStyle w:val="20"/>
          <w:rFonts w:hint="eastAsia" w:ascii="仿宋" w:hAnsi="仿宋" w:eastAsia="仿宋" w:cs="仿宋"/>
          <w:b w:val="0"/>
        </w:rPr>
        <w:t>5个项目开展绩效监控，</w:t>
      </w:r>
      <w:r>
        <w:rPr>
          <w:rFonts w:hint="eastAsia" w:ascii="仿宋" w:hAnsi="仿宋" w:eastAsia="仿宋" w:cs="仿宋"/>
        </w:rPr>
        <w:t>年终执行完毕后，</w:t>
      </w:r>
      <w:r>
        <w:rPr>
          <w:rStyle w:val="20"/>
          <w:rFonts w:hint="eastAsia" w:ascii="仿宋" w:hAnsi="仿宋" w:eastAsia="仿宋" w:cs="仿宋"/>
          <w:b w:val="0"/>
        </w:rPr>
        <w:t>对5个项目开展了绩效</w:t>
      </w:r>
      <w:r>
        <w:rPr>
          <w:rFonts w:hint="eastAsia" w:ascii="仿宋" w:hAnsi="仿宋" w:eastAsia="仿宋" w:cs="仿宋"/>
        </w:rPr>
        <w:t>自评</w:t>
      </w:r>
      <w:r>
        <w:rPr>
          <w:rStyle w:val="20"/>
          <w:rFonts w:hint="eastAsia" w:ascii="仿宋" w:hAnsi="仿宋" w:eastAsia="仿宋" w:cs="仿宋"/>
          <w:b w:val="0"/>
        </w:rPr>
        <w:t>，2021年特定目标类部门预算</w:t>
      </w:r>
      <w:r>
        <w:rPr>
          <w:rFonts w:hint="eastAsia" w:ascii="仿宋" w:hAnsi="仿宋" w:eastAsia="仿宋" w:cs="仿宋"/>
        </w:rPr>
        <w:t>项目绩</w:t>
      </w:r>
      <w:r>
        <w:rPr>
          <w:rStyle w:val="20"/>
          <w:rFonts w:hint="eastAsia" w:ascii="仿宋" w:hAnsi="仿宋" w:eastAsia="仿宋" w:cs="仿宋"/>
          <w:b w:val="0"/>
        </w:rPr>
        <w:t>效</w:t>
      </w:r>
      <w:r>
        <w:rPr>
          <w:rFonts w:hint="eastAsia" w:ascii="仿宋" w:hAnsi="仿宋" w:eastAsia="仿宋" w:cs="仿宋"/>
        </w:rPr>
        <w:t>目标自评表见附件（第四部分）。</w:t>
      </w:r>
      <w:bookmarkEnd w:id="78"/>
    </w:p>
    <w:p>
      <w:pPr>
        <w:pStyle w:val="3"/>
        <w:spacing w:before="93"/>
        <w:rPr>
          <w:rStyle w:val="20"/>
          <w:rFonts w:ascii="宋体" w:hAnsi="宋体" w:cs="宋体"/>
          <w:b w:val="0"/>
        </w:rPr>
      </w:pPr>
    </w:p>
    <w:p>
      <w:pPr>
        <w:numPr>
          <w:ilvl w:val="0"/>
          <w:numId w:val="2"/>
        </w:numPr>
        <w:spacing w:line="600" w:lineRule="exact"/>
        <w:ind w:firstLine="660" w:firstLineChars="150"/>
        <w:jc w:val="center"/>
        <w:outlineLvl w:val="0"/>
        <w:rPr>
          <w:rStyle w:val="21"/>
          <w:rFonts w:ascii="黑体" w:hAnsi="黑体" w:eastAsia="黑体"/>
          <w:b w:val="0"/>
        </w:rPr>
      </w:pPr>
      <w:bookmarkStart w:id="79" w:name="_Toc7572"/>
      <w:bookmarkStart w:id="80" w:name="_Toc15396613"/>
      <w:bookmarkStart w:id="81" w:name="_Toc15377225"/>
      <w:r>
        <w:rPr>
          <w:rFonts w:hint="eastAsia" w:ascii="黑体" w:hAnsi="黑体" w:eastAsia="黑体"/>
          <w:color w:val="000000"/>
          <w:sz w:val="44"/>
          <w:szCs w:val="44"/>
        </w:rPr>
        <w:t>名</w:t>
      </w:r>
      <w:r>
        <w:rPr>
          <w:rStyle w:val="21"/>
          <w:rFonts w:hint="eastAsia" w:ascii="黑体" w:hAnsi="黑体" w:eastAsia="黑体"/>
          <w:b w:val="0"/>
        </w:rPr>
        <w:t>词解释</w:t>
      </w:r>
      <w:bookmarkEnd w:id="79"/>
      <w:bookmarkEnd w:id="80"/>
      <w:bookmarkEnd w:id="81"/>
    </w:p>
    <w:p>
      <w:pPr>
        <w:spacing w:line="600" w:lineRule="exact"/>
        <w:jc w:val="left"/>
        <w:rPr>
          <w:rFonts w:ascii="宋体"/>
          <w:b/>
          <w:color w:val="000000"/>
          <w:sz w:val="44"/>
          <w:szCs w:val="44"/>
        </w:rPr>
      </w:pP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w:t>
      </w:r>
      <w:r>
        <w:rPr>
          <w:rFonts w:hint="eastAsia" w:ascii="仿宋_GB2312" w:eastAsia="仿宋_GB2312"/>
          <w:color w:val="auto"/>
          <w:sz w:val="32"/>
          <w:szCs w:val="32"/>
          <w:u w:val="none" w:color="46CD7E"/>
          <w:shd w:val="clear" w:fill="auto"/>
          <w:lang w:eastAsia="zh-CN"/>
        </w:rPr>
        <w:t>本年度</w:t>
      </w:r>
      <w:r>
        <w:rPr>
          <w:rFonts w:hint="eastAsia" w:ascii="仿宋_GB2312" w:eastAsia="仿宋_GB2312"/>
          <w:color w:val="auto"/>
          <w:sz w:val="32"/>
          <w:szCs w:val="32"/>
        </w:rPr>
        <w:t>有关规定继续使用的资金。</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u w:val="none" w:color="46CD7E"/>
          <w:shd w:val="clear" w:fill="auto"/>
          <w:lang w:eastAsia="zh-CN"/>
        </w:rPr>
        <w:t>.</w:t>
      </w:r>
      <w:r>
        <w:rPr>
          <w:rFonts w:hint="eastAsia" w:ascii="仿宋_GB2312" w:eastAsia="仿宋_GB2312"/>
          <w:color w:val="auto"/>
          <w:sz w:val="32"/>
          <w:szCs w:val="32"/>
        </w:rPr>
        <w:t>年末结转和结余：指单位按有关规定结转到下年或以后年度继续使用的资金。</w:t>
      </w:r>
    </w:p>
    <w:p>
      <w:pPr>
        <w:ind w:firstLine="640" w:firstLineChars="200"/>
        <w:rPr>
          <w:rFonts w:ascii="仿宋_GB2312" w:eastAsia="仿宋_GB2312"/>
          <w:sz w:val="32"/>
          <w:szCs w:val="32"/>
        </w:rPr>
      </w:pPr>
      <w:r>
        <w:rPr>
          <w:rFonts w:hint="eastAsia" w:ascii="仿宋_GB2312" w:eastAsia="仿宋_GB2312"/>
          <w:sz w:val="32"/>
          <w:szCs w:val="32"/>
          <w:u w:val="none" w:color="FFB03A"/>
          <w:shd w:val="clear" w:fill="auto"/>
        </w:rPr>
        <w:t>9</w:t>
      </w:r>
      <w:r>
        <w:rPr>
          <w:rFonts w:ascii="仿宋_GB2312" w:eastAsia="仿宋_GB2312"/>
          <w:sz w:val="32"/>
          <w:szCs w:val="32"/>
          <w:u w:val="none" w:color="FFB03A"/>
          <w:shd w:val="clear" w:fill="auto"/>
        </w:rPr>
        <w:t>.</w:t>
      </w:r>
      <w:r>
        <w:rPr>
          <w:rFonts w:hint="eastAsia" w:ascii="仿宋_GB2312" w:eastAsia="仿宋_GB2312"/>
          <w:sz w:val="32"/>
          <w:szCs w:val="32"/>
        </w:rPr>
        <w:t>教育（类）普通教育（款）小学教育（项）：指反映各部门举办的小学教育支出，政府各部门对社会组织等举办的小学的资助</w:t>
      </w:r>
      <w:r>
        <w:t>，</w:t>
      </w:r>
      <w:r>
        <w:rPr>
          <w:rFonts w:hint="eastAsia" w:ascii="仿宋_GB2312" w:eastAsia="仿宋_GB2312"/>
          <w:sz w:val="32"/>
          <w:szCs w:val="32"/>
        </w:rPr>
        <w:t>如捐赠、补贴等，也在本科目中反映。</w:t>
      </w:r>
    </w:p>
    <w:p>
      <w:pPr>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0</w:t>
      </w:r>
      <w:r>
        <w:rPr>
          <w:rFonts w:ascii="仿宋_GB2312" w:eastAsia="仿宋_GB2312"/>
          <w:sz w:val="32"/>
          <w:szCs w:val="32"/>
        </w:rPr>
        <w:t>.</w:t>
      </w:r>
      <w:r>
        <w:rPr>
          <w:rFonts w:hint="eastAsia" w:ascii="仿宋_GB2312" w:eastAsia="仿宋_GB2312"/>
          <w:sz w:val="32"/>
          <w:szCs w:val="32"/>
        </w:rPr>
        <w:t>社会保障和就业（类）人力资源和社会保障管理事务（款）社会保险经办机构（项）：指反映机关事业单位实施养老保险制度由单位缴纳的基本养老保险费支出。</w:t>
      </w:r>
    </w:p>
    <w:p>
      <w:pPr>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1</w:t>
      </w:r>
      <w:r>
        <w:rPr>
          <w:rFonts w:ascii="仿宋_GB2312" w:eastAsia="仿宋_GB2312"/>
          <w:sz w:val="32"/>
          <w:szCs w:val="32"/>
        </w:rPr>
        <w:t>.</w:t>
      </w:r>
      <w:r>
        <w:rPr>
          <w:rFonts w:hint="eastAsia" w:ascii="仿宋_GB2312" w:eastAsia="仿宋_GB2312"/>
          <w:sz w:val="32"/>
          <w:szCs w:val="32"/>
        </w:rPr>
        <w:t>医疗卫生与计划生育（类）行政事业单位医疗（款）事业单位医疗（项）：指反映财政部门安排的事业单位基本医疗保险缴费经费，未参加医疗保险的事业单位的公费医疗经费，按国家规定享受离休人员待遇的医疗经费。</w:t>
      </w:r>
    </w:p>
    <w:p>
      <w:pPr>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农林水（类）扶贫（款）其他扶贫支出（项）：指反映其他用于巩固拓展脱贫攻坚成果同乡村振兴有效衔接方面的支出。</w:t>
      </w:r>
    </w:p>
    <w:p>
      <w:pPr>
        <w:ind w:firstLine="640" w:firstLineChars="200"/>
        <w:rPr>
          <w:rFonts w:ascii="仿宋" w:hAnsi="仿宋" w:eastAsia="仿宋"/>
          <w:b/>
          <w:sz w:val="32"/>
          <w:szCs w:val="32"/>
        </w:rPr>
      </w:pPr>
      <w:r>
        <w:rPr>
          <w:rFonts w:hint="eastAsia" w:ascii="仿宋_GB2312" w:eastAsia="仿宋_GB2312"/>
          <w:sz w:val="32"/>
          <w:szCs w:val="32"/>
        </w:rPr>
        <w:t>13</w:t>
      </w:r>
      <w:r>
        <w:rPr>
          <w:rFonts w:ascii="仿宋_GB2312" w:eastAsia="仿宋_GB2312"/>
          <w:sz w:val="32"/>
          <w:szCs w:val="32"/>
        </w:rPr>
        <w:t>.</w:t>
      </w:r>
      <w:r>
        <w:rPr>
          <w:rFonts w:hint="eastAsia" w:ascii="仿宋_GB2312" w:eastAsia="仿宋_GB2312"/>
          <w:sz w:val="32"/>
          <w:szCs w:val="32"/>
        </w:rPr>
        <w:t>住房保障（类）住房保障（款）住房公积金（项）：指反映行政事业单位按人力资源和社会保障部、财政部规定的基本工资和津贴补贴以及规定比例为职工缴纳的住房公积金。</w:t>
      </w:r>
    </w:p>
    <w:p>
      <w:pPr>
        <w:ind w:firstLine="640" w:firstLineChars="200"/>
        <w:rPr>
          <w:rFonts w:ascii="仿宋_GB2312" w:eastAsia="仿宋_GB2312"/>
          <w:sz w:val="32"/>
          <w:szCs w:val="32"/>
        </w:rPr>
      </w:pPr>
      <w:r>
        <w:rPr>
          <w:rFonts w:hint="eastAsia" w:ascii="仿宋_GB2312" w:eastAsia="仿宋_GB2312"/>
          <w:sz w:val="32"/>
          <w:szCs w:val="32"/>
        </w:rPr>
        <w:t>14</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ind w:firstLine="640" w:firstLineChars="200"/>
        <w:rPr>
          <w:rFonts w:ascii="仿宋_GB2312" w:eastAsia="仿宋_GB2312"/>
          <w:sz w:val="32"/>
          <w:szCs w:val="32"/>
        </w:rPr>
      </w:pPr>
      <w:r>
        <w:rPr>
          <w:rFonts w:hint="eastAsia" w:ascii="仿宋_GB2312" w:eastAsia="仿宋_GB2312"/>
          <w:sz w:val="32"/>
          <w:szCs w:val="32"/>
        </w:rPr>
        <w:t>15</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pPr>
        <w:ind w:firstLine="640" w:firstLineChars="200"/>
        <w:rPr>
          <w:rFonts w:ascii="仿宋_GB2312" w:eastAsia="仿宋_GB2312"/>
          <w:sz w:val="32"/>
          <w:szCs w:val="32"/>
        </w:rPr>
      </w:pPr>
      <w:r>
        <w:rPr>
          <w:rFonts w:hint="eastAsia" w:ascii="仿宋_GB2312" w:eastAsia="仿宋_GB2312"/>
          <w:sz w:val="32"/>
          <w:szCs w:val="32"/>
        </w:rPr>
        <w:t>16</w:t>
      </w:r>
      <w:r>
        <w:rPr>
          <w:rFonts w:ascii="仿宋_GB2312" w:eastAsia="仿宋_GB2312"/>
          <w:sz w:val="32"/>
          <w:szCs w:val="32"/>
        </w:rPr>
        <w:t>.</w:t>
      </w:r>
      <w:r>
        <w:rPr>
          <w:rFonts w:hint="eastAsia" w:ascii="仿宋_GB2312" w:eastAsia="仿宋_GB2312"/>
          <w:sz w:val="32"/>
          <w:szCs w:val="32"/>
        </w:rPr>
        <w:t>经营支出：指事业单位在专业业务活动及其辅助活动之外开展非独立核算经营活动发生的支出。</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17</w:t>
      </w:r>
      <w:r>
        <w:rPr>
          <w:rFonts w:ascii="仿宋_GB2312" w:eastAsia="仿宋_GB2312"/>
          <w:color w:val="auto"/>
          <w:sz w:val="32"/>
          <w:szCs w:val="32"/>
        </w:rPr>
        <w:t>.</w:t>
      </w:r>
      <w:r>
        <w:rPr>
          <w:rFonts w:hint="eastAsia" w:ascii="仿宋_GB2312" w:eastAsia="仿宋_GB2312"/>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部门公务用车车辆购置支出（含车辆购置税）及租用费、燃料费、维修费、过路过桥费、保险费等支出；公务接待费反映单位按规定开支的各类公务接待（含外宾接待）支出。</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18</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26"/>
        <w:spacing w:line="560" w:lineRule="exact"/>
        <w:ind w:firstLine="640" w:firstLineChars="200"/>
        <w:rPr>
          <w:rFonts w:ascii="仿宋_GB2312" w:eastAsia="仿宋_GB2312"/>
          <w:color w:val="auto"/>
          <w:sz w:val="32"/>
          <w:szCs w:val="32"/>
        </w:rPr>
      </w:pPr>
    </w:p>
    <w:p>
      <w:pPr>
        <w:pStyle w:val="26"/>
        <w:spacing w:line="560" w:lineRule="exact"/>
        <w:ind w:firstLine="640" w:firstLineChars="200"/>
        <w:rPr>
          <w:rFonts w:ascii="仿宋_GB2312" w:eastAsia="仿宋_GB2312"/>
          <w:color w:val="auto"/>
          <w:sz w:val="32"/>
          <w:szCs w:val="32"/>
        </w:rPr>
      </w:pPr>
    </w:p>
    <w:p>
      <w:pPr>
        <w:pStyle w:val="26"/>
        <w:spacing w:line="560" w:lineRule="exact"/>
        <w:ind w:firstLine="640" w:firstLineChars="200"/>
        <w:rPr>
          <w:rFonts w:ascii="仿宋_GB2312" w:eastAsia="仿宋_GB2312"/>
          <w:color w:val="auto"/>
          <w:sz w:val="32"/>
          <w:szCs w:val="32"/>
        </w:rPr>
      </w:pPr>
    </w:p>
    <w:p>
      <w:pPr>
        <w:pStyle w:val="26"/>
        <w:spacing w:line="560" w:lineRule="exact"/>
        <w:rPr>
          <w:rFonts w:ascii="仿宋_GB2312" w:eastAsia="仿宋_GB2312"/>
          <w:color w:val="auto"/>
          <w:sz w:val="32"/>
          <w:szCs w:val="32"/>
        </w:rPr>
      </w:pPr>
    </w:p>
    <w:p>
      <w:pPr>
        <w:numPr>
          <w:ilvl w:val="0"/>
          <w:numId w:val="2"/>
        </w:numPr>
        <w:spacing w:line="600" w:lineRule="exact"/>
        <w:ind w:firstLine="660" w:firstLineChars="150"/>
        <w:jc w:val="center"/>
        <w:outlineLvl w:val="0"/>
        <w:rPr>
          <w:rStyle w:val="21"/>
          <w:rFonts w:ascii="黑体" w:hAnsi="黑体" w:eastAsia="黑体"/>
          <w:b w:val="0"/>
        </w:rPr>
      </w:pPr>
      <w:bookmarkStart w:id="82" w:name="_Toc3638"/>
      <w:r>
        <w:rPr>
          <w:rStyle w:val="21"/>
          <w:rFonts w:hint="eastAsia" w:ascii="黑体" w:hAnsi="黑体" w:eastAsia="黑体"/>
          <w:b w:val="0"/>
        </w:rPr>
        <w:t>附件</w:t>
      </w:r>
      <w:bookmarkEnd w:id="82"/>
    </w:p>
    <w:p>
      <w:pPr>
        <w:pStyle w:val="3"/>
        <w:spacing w:before="93"/>
        <w:ind w:left="315" w:leftChars="150"/>
      </w:pPr>
    </w:p>
    <w:tbl>
      <w:tblPr>
        <w:tblStyle w:val="8"/>
        <w:tblW w:w="9988" w:type="dxa"/>
        <w:tblInd w:w="93" w:type="dxa"/>
        <w:tblLayout w:type="autofit"/>
        <w:tblCellMar>
          <w:top w:w="0" w:type="dxa"/>
          <w:left w:w="108" w:type="dxa"/>
          <w:bottom w:w="0" w:type="dxa"/>
          <w:right w:w="108" w:type="dxa"/>
        </w:tblCellMar>
      </w:tblPr>
      <w:tblGrid>
        <w:gridCol w:w="555"/>
        <w:gridCol w:w="1013"/>
        <w:gridCol w:w="1035"/>
        <w:gridCol w:w="1039"/>
        <w:gridCol w:w="696"/>
        <w:gridCol w:w="1305"/>
        <w:gridCol w:w="1050"/>
        <w:gridCol w:w="696"/>
        <w:gridCol w:w="915"/>
        <w:gridCol w:w="915"/>
        <w:gridCol w:w="769"/>
      </w:tblGrid>
      <w:tr>
        <w:tblPrEx>
          <w:tblCellMar>
            <w:top w:w="0" w:type="dxa"/>
            <w:left w:w="108" w:type="dxa"/>
            <w:bottom w:w="0" w:type="dxa"/>
            <w:right w:w="108" w:type="dxa"/>
          </w:tblCellMar>
        </w:tblPrEx>
        <w:trPr>
          <w:trHeight w:val="405" w:hRule="atLeast"/>
        </w:trPr>
        <w:tc>
          <w:tcPr>
            <w:tcW w:w="1568" w:type="dxa"/>
            <w:gridSpan w:val="2"/>
            <w:tcBorders>
              <w:top w:val="nil"/>
              <w:left w:val="nil"/>
              <w:bottom w:val="nil"/>
              <w:right w:val="nil"/>
            </w:tcBorders>
            <w:noWrap/>
            <w:vAlign w:val="center"/>
          </w:tcPr>
          <w:p>
            <w:pPr>
              <w:widowControl/>
              <w:jc w:val="center"/>
              <w:textAlignment w:val="center"/>
              <w:rPr>
                <w:rFonts w:ascii="宋体" w:hAnsi="宋体" w:cs="宋体"/>
                <w:b/>
                <w:bCs/>
                <w:color w:val="000000"/>
                <w:sz w:val="32"/>
                <w:szCs w:val="32"/>
              </w:rPr>
            </w:pPr>
            <w:r>
              <w:rPr>
                <w:rFonts w:hint="eastAsia" w:ascii="宋体" w:hAnsi="宋体" w:cs="宋体"/>
                <w:b/>
                <w:bCs/>
                <w:color w:val="000000"/>
                <w:kern w:val="0"/>
                <w:sz w:val="32"/>
                <w:szCs w:val="32"/>
              </w:rPr>
              <w:t>附件1：</w:t>
            </w:r>
          </w:p>
        </w:tc>
        <w:tc>
          <w:tcPr>
            <w:tcW w:w="1035" w:type="dxa"/>
            <w:tcBorders>
              <w:top w:val="nil"/>
              <w:left w:val="nil"/>
              <w:bottom w:val="nil"/>
              <w:right w:val="nil"/>
            </w:tcBorders>
            <w:noWrap/>
            <w:vAlign w:val="center"/>
          </w:tcPr>
          <w:p>
            <w:pPr>
              <w:jc w:val="center"/>
              <w:rPr>
                <w:rFonts w:ascii="宋体" w:hAnsi="宋体" w:cs="宋体"/>
                <w:color w:val="000000"/>
                <w:sz w:val="22"/>
                <w:szCs w:val="22"/>
              </w:rPr>
            </w:pPr>
          </w:p>
        </w:tc>
        <w:tc>
          <w:tcPr>
            <w:tcW w:w="1039" w:type="dxa"/>
            <w:tcBorders>
              <w:top w:val="nil"/>
              <w:left w:val="nil"/>
              <w:bottom w:val="nil"/>
              <w:right w:val="nil"/>
            </w:tcBorders>
            <w:noWrap/>
            <w:vAlign w:val="center"/>
          </w:tcPr>
          <w:p>
            <w:pPr>
              <w:jc w:val="center"/>
              <w:rPr>
                <w:rFonts w:ascii="宋体" w:hAnsi="宋体" w:cs="宋体"/>
                <w:color w:val="000000"/>
                <w:sz w:val="22"/>
                <w:szCs w:val="22"/>
              </w:rPr>
            </w:pPr>
          </w:p>
        </w:tc>
        <w:tc>
          <w:tcPr>
            <w:tcW w:w="696" w:type="dxa"/>
            <w:tcBorders>
              <w:top w:val="nil"/>
              <w:left w:val="nil"/>
              <w:bottom w:val="nil"/>
              <w:right w:val="nil"/>
            </w:tcBorders>
            <w:noWrap/>
            <w:vAlign w:val="center"/>
          </w:tcPr>
          <w:p>
            <w:pPr>
              <w:jc w:val="center"/>
              <w:rPr>
                <w:rFonts w:ascii="宋体" w:hAnsi="宋体" w:cs="宋体"/>
                <w:color w:val="000000"/>
                <w:sz w:val="22"/>
                <w:szCs w:val="22"/>
              </w:rPr>
            </w:pPr>
          </w:p>
        </w:tc>
        <w:tc>
          <w:tcPr>
            <w:tcW w:w="1305" w:type="dxa"/>
            <w:tcBorders>
              <w:top w:val="nil"/>
              <w:left w:val="nil"/>
              <w:bottom w:val="nil"/>
              <w:right w:val="nil"/>
            </w:tcBorders>
            <w:noWrap/>
            <w:vAlign w:val="center"/>
          </w:tcPr>
          <w:p>
            <w:pPr>
              <w:jc w:val="center"/>
              <w:rPr>
                <w:rFonts w:ascii="宋体" w:hAnsi="宋体" w:cs="宋体"/>
                <w:color w:val="000000"/>
                <w:sz w:val="22"/>
                <w:szCs w:val="22"/>
              </w:rPr>
            </w:pPr>
          </w:p>
        </w:tc>
        <w:tc>
          <w:tcPr>
            <w:tcW w:w="1050" w:type="dxa"/>
            <w:tcBorders>
              <w:top w:val="nil"/>
              <w:left w:val="nil"/>
              <w:bottom w:val="nil"/>
              <w:right w:val="nil"/>
            </w:tcBorders>
            <w:noWrap/>
            <w:vAlign w:val="center"/>
          </w:tcPr>
          <w:p>
            <w:pPr>
              <w:jc w:val="center"/>
              <w:rPr>
                <w:rFonts w:ascii="宋体" w:hAnsi="宋体" w:cs="宋体"/>
                <w:color w:val="000000"/>
                <w:sz w:val="22"/>
                <w:szCs w:val="22"/>
              </w:rPr>
            </w:pPr>
          </w:p>
        </w:tc>
        <w:tc>
          <w:tcPr>
            <w:tcW w:w="696" w:type="dxa"/>
            <w:tcBorders>
              <w:top w:val="nil"/>
              <w:left w:val="nil"/>
              <w:bottom w:val="nil"/>
              <w:right w:val="nil"/>
            </w:tcBorders>
            <w:noWrap/>
            <w:vAlign w:val="center"/>
          </w:tcPr>
          <w:p>
            <w:pPr>
              <w:jc w:val="center"/>
              <w:rPr>
                <w:rFonts w:ascii="宋体" w:hAnsi="宋体" w:cs="宋体"/>
                <w:color w:val="000000"/>
                <w:sz w:val="22"/>
                <w:szCs w:val="22"/>
              </w:rPr>
            </w:pPr>
          </w:p>
        </w:tc>
        <w:tc>
          <w:tcPr>
            <w:tcW w:w="915" w:type="dxa"/>
            <w:tcBorders>
              <w:top w:val="nil"/>
              <w:left w:val="nil"/>
              <w:bottom w:val="nil"/>
              <w:right w:val="nil"/>
            </w:tcBorders>
            <w:noWrap/>
            <w:vAlign w:val="center"/>
          </w:tcPr>
          <w:p>
            <w:pPr>
              <w:jc w:val="center"/>
              <w:rPr>
                <w:rFonts w:ascii="宋体" w:hAnsi="宋体" w:cs="宋体"/>
                <w:color w:val="000000"/>
                <w:sz w:val="22"/>
                <w:szCs w:val="22"/>
              </w:rPr>
            </w:pPr>
          </w:p>
        </w:tc>
        <w:tc>
          <w:tcPr>
            <w:tcW w:w="915" w:type="dxa"/>
            <w:tcBorders>
              <w:top w:val="nil"/>
              <w:left w:val="nil"/>
              <w:bottom w:val="nil"/>
              <w:right w:val="nil"/>
            </w:tcBorders>
            <w:noWrap/>
            <w:vAlign w:val="center"/>
          </w:tcPr>
          <w:p>
            <w:pPr>
              <w:jc w:val="center"/>
              <w:rPr>
                <w:rFonts w:ascii="宋体" w:hAnsi="宋体" w:cs="宋体"/>
                <w:color w:val="000000"/>
                <w:sz w:val="22"/>
                <w:szCs w:val="22"/>
              </w:rPr>
            </w:pPr>
          </w:p>
        </w:tc>
        <w:tc>
          <w:tcPr>
            <w:tcW w:w="769" w:type="dxa"/>
            <w:tcBorders>
              <w:top w:val="nil"/>
              <w:left w:val="nil"/>
              <w:bottom w:val="nil"/>
              <w:right w:val="nil"/>
            </w:tcBorders>
            <w:noWrap/>
            <w:vAlign w:val="center"/>
          </w:tcPr>
          <w:p>
            <w:pPr>
              <w:jc w:val="center"/>
              <w:rPr>
                <w:rFonts w:ascii="宋体" w:hAnsi="宋体" w:cs="宋体"/>
                <w:color w:val="000000"/>
                <w:sz w:val="22"/>
                <w:szCs w:val="22"/>
              </w:rPr>
            </w:pPr>
          </w:p>
        </w:tc>
      </w:tr>
      <w:tr>
        <w:tblPrEx>
          <w:tblCellMar>
            <w:top w:w="0" w:type="dxa"/>
            <w:left w:w="108" w:type="dxa"/>
            <w:bottom w:w="0" w:type="dxa"/>
            <w:right w:w="108" w:type="dxa"/>
          </w:tblCellMar>
        </w:tblPrEx>
        <w:trPr>
          <w:trHeight w:val="570" w:hRule="atLeast"/>
        </w:trPr>
        <w:tc>
          <w:tcPr>
            <w:tcW w:w="9988" w:type="dxa"/>
            <w:gridSpan w:val="11"/>
            <w:tcBorders>
              <w:top w:val="nil"/>
              <w:left w:val="nil"/>
              <w:bottom w:val="nil"/>
              <w:right w:val="nil"/>
            </w:tcBorders>
            <w:noWrap/>
            <w:vAlign w:val="center"/>
          </w:tcPr>
          <w:p>
            <w:pPr>
              <w:widowControl/>
              <w:jc w:val="center"/>
              <w:textAlignment w:val="center"/>
              <w:rPr>
                <w:rFonts w:ascii="宋体" w:hAnsi="宋体" w:cs="宋体"/>
                <w:b/>
                <w:bCs/>
                <w:color w:val="000000"/>
                <w:sz w:val="32"/>
                <w:szCs w:val="32"/>
              </w:rPr>
            </w:pPr>
            <w:r>
              <w:rPr>
                <w:rFonts w:hint="eastAsia" w:ascii="宋体" w:hAnsi="宋体" w:cs="宋体"/>
                <w:b/>
                <w:bCs/>
                <w:color w:val="000000"/>
                <w:kern w:val="0"/>
                <w:sz w:val="32"/>
                <w:szCs w:val="32"/>
              </w:rPr>
              <w:t>整体支出绩效目标自评表</w:t>
            </w:r>
          </w:p>
        </w:tc>
      </w:tr>
      <w:tr>
        <w:tblPrEx>
          <w:tblCellMar>
            <w:top w:w="0" w:type="dxa"/>
            <w:left w:w="108" w:type="dxa"/>
            <w:bottom w:w="0" w:type="dxa"/>
            <w:right w:w="108" w:type="dxa"/>
          </w:tblCellMar>
        </w:tblPrEx>
        <w:trPr>
          <w:trHeight w:val="420" w:hRule="atLeast"/>
        </w:trPr>
        <w:tc>
          <w:tcPr>
            <w:tcW w:w="9988" w:type="dxa"/>
            <w:gridSpan w:val="11"/>
            <w:tcBorders>
              <w:top w:val="nil"/>
              <w:left w:val="nil"/>
              <w:bottom w:val="single" w:color="000000" w:sz="4" w:space="0"/>
              <w:right w:val="nil"/>
            </w:tcBorders>
            <w:noWrap/>
          </w:tcPr>
          <w:p>
            <w:pPr>
              <w:widowControl/>
              <w:jc w:val="center"/>
              <w:textAlignment w:val="top"/>
              <w:rPr>
                <w:rFonts w:ascii="宋体" w:hAnsi="宋体" w:cs="宋体"/>
                <w:color w:val="000000"/>
                <w:sz w:val="22"/>
                <w:szCs w:val="22"/>
              </w:rPr>
            </w:pPr>
            <w:r>
              <w:rPr>
                <w:rFonts w:hint="eastAsia" w:ascii="宋体" w:hAnsi="宋体" w:cs="宋体"/>
                <w:color w:val="000000"/>
                <w:kern w:val="0"/>
                <w:sz w:val="22"/>
                <w:szCs w:val="22"/>
              </w:rPr>
              <w:t>（2021年度）</w:t>
            </w:r>
          </w:p>
        </w:tc>
      </w:tr>
      <w:tr>
        <w:tblPrEx>
          <w:tblCellMar>
            <w:top w:w="0" w:type="dxa"/>
            <w:left w:w="108" w:type="dxa"/>
            <w:bottom w:w="0" w:type="dxa"/>
            <w:right w:w="108" w:type="dxa"/>
          </w:tblCellMar>
        </w:tblPrEx>
        <w:trPr>
          <w:trHeight w:val="400" w:hRule="atLeast"/>
        </w:trPr>
        <w:tc>
          <w:tcPr>
            <w:tcW w:w="2603"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部门名称</w:t>
            </w:r>
          </w:p>
        </w:tc>
        <w:tc>
          <w:tcPr>
            <w:tcW w:w="7385" w:type="dxa"/>
            <w:gridSpan w:val="8"/>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通江县烟溪镇中心小学</w:t>
            </w:r>
          </w:p>
        </w:tc>
      </w:tr>
      <w:tr>
        <w:tblPrEx>
          <w:tblCellMar>
            <w:top w:w="0" w:type="dxa"/>
            <w:left w:w="108" w:type="dxa"/>
            <w:bottom w:w="0" w:type="dxa"/>
            <w:right w:w="108" w:type="dxa"/>
          </w:tblCellMar>
        </w:tblPrEx>
        <w:trPr>
          <w:trHeight w:val="300" w:hRule="atLeast"/>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年度主要任务</w:t>
            </w:r>
          </w:p>
        </w:tc>
        <w:tc>
          <w:tcPr>
            <w:tcW w:w="1013" w:type="dxa"/>
            <w:vMerge w:val="restart"/>
            <w:tcBorders>
              <w:top w:val="single" w:color="000000" w:sz="4" w:space="0"/>
              <w:left w:val="single" w:color="000000" w:sz="4" w:space="0"/>
              <w:bottom w:val="single" w:color="000000" w:sz="4" w:space="0"/>
              <w:right w:val="nil"/>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任务名称</w:t>
            </w: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主要内容</w:t>
            </w:r>
          </w:p>
        </w:tc>
        <w:tc>
          <w:tcPr>
            <w:tcW w:w="103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分值</w:t>
            </w:r>
          </w:p>
        </w:tc>
        <w:tc>
          <w:tcPr>
            <w:tcW w:w="3051"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预算金额（万元）</w:t>
            </w:r>
          </w:p>
        </w:tc>
        <w:tc>
          <w:tcPr>
            <w:tcW w:w="0" w:type="auto"/>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实际执行（万元）</w:t>
            </w:r>
          </w:p>
        </w:tc>
        <w:tc>
          <w:tcPr>
            <w:tcW w:w="76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得分</w:t>
            </w:r>
          </w:p>
        </w:tc>
      </w:tr>
      <w:tr>
        <w:tblPrEx>
          <w:tblCellMar>
            <w:top w:w="0" w:type="dxa"/>
            <w:left w:w="108" w:type="dxa"/>
            <w:bottom w:w="0" w:type="dxa"/>
            <w:right w:w="108" w:type="dxa"/>
          </w:tblCellMar>
        </w:tblPrEx>
        <w:trPr>
          <w:trHeight w:val="300"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nil"/>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总额</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其他资金</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总额</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财政拨款</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其他资金</w:t>
            </w:r>
          </w:p>
        </w:tc>
        <w:tc>
          <w:tcPr>
            <w:tcW w:w="769"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60"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教育教学</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完成年度教育教学任务</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6"/>
                <w:szCs w:val="16"/>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6"/>
                <w:szCs w:val="16"/>
              </w:rPr>
            </w:pP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w:t>
            </w:r>
          </w:p>
        </w:tc>
      </w:tr>
      <w:tr>
        <w:tblPrEx>
          <w:tblCellMar>
            <w:top w:w="0" w:type="dxa"/>
            <w:left w:w="108" w:type="dxa"/>
            <w:bottom w:w="0" w:type="dxa"/>
            <w:right w:w="108" w:type="dxa"/>
          </w:tblCellMar>
        </w:tblPrEx>
        <w:trPr>
          <w:trHeight w:val="282"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1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76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rPr>
          <w:trHeight w:val="282"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1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76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82"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13"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76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82"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048" w:type="dxa"/>
            <w:gridSpan w:val="2"/>
            <w:tcBorders>
              <w:top w:val="single" w:color="000000" w:sz="4" w:space="0"/>
              <w:left w:val="single" w:color="000000" w:sz="4" w:space="0"/>
              <w:bottom w:val="nil"/>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合计</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6"/>
                <w:szCs w:val="16"/>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414.51</w:t>
            </w:r>
          </w:p>
        </w:tc>
        <w:tc>
          <w:tcPr>
            <w:tcW w:w="91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16"/>
                <w:szCs w:val="16"/>
              </w:rPr>
            </w:pPr>
          </w:p>
        </w:tc>
        <w:tc>
          <w:tcPr>
            <w:tcW w:w="76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10</w:t>
            </w:r>
          </w:p>
        </w:tc>
      </w:tr>
      <w:tr>
        <w:tblPrEx>
          <w:tblCellMar>
            <w:top w:w="0" w:type="dxa"/>
            <w:left w:w="108" w:type="dxa"/>
            <w:bottom w:w="0" w:type="dxa"/>
            <w:right w:w="108" w:type="dxa"/>
          </w:tblCellMar>
        </w:tblPrEx>
        <w:trPr>
          <w:trHeight w:val="240" w:hRule="atLeast"/>
        </w:trPr>
        <w:tc>
          <w:tcPr>
            <w:tcW w:w="55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年度总体目标</w:t>
            </w:r>
          </w:p>
        </w:tc>
        <w:tc>
          <w:tcPr>
            <w:tcW w:w="5088"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预期目标</w:t>
            </w:r>
          </w:p>
        </w:tc>
        <w:tc>
          <w:tcPr>
            <w:tcW w:w="434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实际完成目标</w:t>
            </w:r>
          </w:p>
        </w:tc>
      </w:tr>
      <w:tr>
        <w:tblPrEx>
          <w:tblCellMar>
            <w:top w:w="0" w:type="dxa"/>
            <w:left w:w="108" w:type="dxa"/>
            <w:bottom w:w="0" w:type="dxa"/>
            <w:right w:w="108" w:type="dxa"/>
          </w:tblCellMar>
        </w:tblPrEx>
        <w:trPr>
          <w:trHeight w:val="1080" w:hRule="atLeast"/>
        </w:trPr>
        <w:tc>
          <w:tcPr>
            <w:tcW w:w="55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5088"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2"/>
                <w:szCs w:val="12"/>
              </w:rPr>
            </w:pPr>
            <w:r>
              <w:rPr>
                <w:rFonts w:hint="eastAsia" w:ascii="宋体" w:hAnsi="宋体" w:cs="宋体"/>
                <w:color w:val="000000"/>
                <w:kern w:val="0"/>
                <w:sz w:val="12"/>
                <w:szCs w:val="12"/>
              </w:rPr>
              <w:t>1.执行党和国家的教育方针、政策，管理和使用好教育资金，改善和优化办学条件。</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2.保障103名学生，30名教师教育教学秩序有序开展，提升教育质量。</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3.关爱留守儿童、贫困儿童。</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4.教书育人，把教育教学质量和安全工作放在首位，确保学生全面健康发展。</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5.保障教师培训和教研活动正常开展。</w:t>
            </w:r>
          </w:p>
        </w:tc>
        <w:tc>
          <w:tcPr>
            <w:tcW w:w="4345" w:type="dxa"/>
            <w:gridSpan w:val="5"/>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cs="宋体"/>
                <w:color w:val="000000"/>
                <w:sz w:val="12"/>
                <w:szCs w:val="12"/>
              </w:rPr>
            </w:pPr>
            <w:r>
              <w:rPr>
                <w:rFonts w:hint="eastAsia" w:ascii="宋体" w:hAnsi="宋体" w:cs="宋体"/>
                <w:color w:val="000000"/>
                <w:kern w:val="0"/>
                <w:sz w:val="12"/>
                <w:szCs w:val="12"/>
              </w:rPr>
              <w:t>1.执行党和国家的教育方针、政策，管理和使用好教育资金，改善和优化办学条件。</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2.保障103名学生，30名教师教育教学秩序有序开展，提升教育质量。</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3.关爱留守儿童、贫困儿童。</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4.教书育人，把教育教学质量和安全工作放在首位，确保学生全面健康发展。</w:t>
            </w:r>
            <w:r>
              <w:rPr>
                <w:rFonts w:hint="eastAsia" w:ascii="宋体" w:hAnsi="宋体" w:cs="宋体"/>
                <w:color w:val="000000"/>
                <w:kern w:val="0"/>
                <w:sz w:val="12"/>
                <w:szCs w:val="12"/>
              </w:rPr>
              <w:br w:type="textWrapping"/>
            </w:r>
            <w:r>
              <w:rPr>
                <w:rFonts w:hint="eastAsia" w:ascii="宋体" w:hAnsi="宋体" w:cs="宋体"/>
                <w:color w:val="000000"/>
                <w:kern w:val="0"/>
                <w:sz w:val="12"/>
                <w:szCs w:val="12"/>
              </w:rPr>
              <w:t>5.保障教师培训和教研活动正常开展。</w:t>
            </w:r>
          </w:p>
        </w:tc>
      </w:tr>
      <w:tr>
        <w:tblPrEx>
          <w:tblCellMar>
            <w:top w:w="0" w:type="dxa"/>
            <w:left w:w="108" w:type="dxa"/>
            <w:bottom w:w="0" w:type="dxa"/>
            <w:right w:w="108" w:type="dxa"/>
          </w:tblCellMar>
        </w:tblPrEx>
        <w:trPr>
          <w:trHeight w:val="559" w:hRule="atLeast"/>
        </w:trPr>
        <w:tc>
          <w:tcPr>
            <w:tcW w:w="555" w:type="dxa"/>
            <w:vMerge w:val="restart"/>
            <w:tcBorders>
              <w:top w:val="single" w:color="000000" w:sz="4" w:space="0"/>
              <w:left w:val="single" w:color="000000" w:sz="4" w:space="0"/>
              <w:bottom w:val="single" w:color="000000" w:sz="4" w:space="0"/>
              <w:right w:val="single" w:color="000000" w:sz="4" w:space="0"/>
            </w:tcBorders>
            <w:noWrap/>
            <w:textDirection w:val="tbRlV"/>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绩效指标</w:t>
            </w:r>
          </w:p>
        </w:tc>
        <w:tc>
          <w:tcPr>
            <w:tcW w:w="1013"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一级</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指标</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二级指标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三级指标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分值</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年度指标值</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全年实际值</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得分</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rPr>
              <w:t>未完成原因及拟采取的改进措施</w:t>
            </w:r>
          </w:p>
        </w:tc>
      </w:tr>
      <w:tr>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产</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出</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指</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标</w:t>
            </w:r>
            <w:r>
              <w:rPr>
                <w:rFonts w:hint="eastAsia" w:ascii="宋体" w:hAnsi="宋体" w:cs="宋体"/>
                <w:color w:val="000000"/>
                <w:kern w:val="0"/>
                <w:sz w:val="20"/>
                <w:szCs w:val="20"/>
              </w:rPr>
              <w:br w:type="textWrapping"/>
            </w:r>
            <w:r>
              <w:t>（</w:t>
            </w:r>
            <w:r>
              <w:rPr>
                <w:rFonts w:hint="eastAsia" w:ascii="宋体" w:hAnsi="宋体" w:cs="宋体"/>
                <w:color w:val="000000"/>
                <w:kern w:val="0"/>
                <w:sz w:val="20"/>
                <w:szCs w:val="20"/>
              </w:rPr>
              <w:t>50分</w:t>
            </w:r>
            <w:r>
              <w:t>）</w:t>
            </w: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数量指标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教学课时</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≥6400节</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7200节</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教师培训学时</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≥90学时</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102学时</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教研活动</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≥10次</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12次</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质量指标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教学教育质量合格率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教职工培训合格率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教研活动完成率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时效指标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教学任务</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2021-12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2021-12</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360"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学生资助发放及时率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6"/>
                <w:szCs w:val="16"/>
              </w:rPr>
            </w:pPr>
            <w:r>
              <w:rPr>
                <w:rFonts w:hint="eastAsia" w:ascii="宋体" w:hAnsi="宋体" w:cs="宋体"/>
                <w:color w:val="000000"/>
                <w:kern w:val="0"/>
                <w:sz w:val="16"/>
                <w:szCs w:val="16"/>
              </w:rPr>
              <w:t>教职工培训</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2021-12</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2021-12</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成本指标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活动经费</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培训经费</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≥0.8</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效</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益</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指</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标</w:t>
            </w:r>
            <w:r>
              <w:rPr>
                <w:rFonts w:hint="eastAsia" w:ascii="宋体" w:hAnsi="宋体" w:cs="宋体"/>
                <w:color w:val="000000"/>
                <w:kern w:val="0"/>
                <w:sz w:val="20"/>
                <w:szCs w:val="20"/>
              </w:rPr>
              <w:br w:type="textWrapping"/>
            </w:r>
            <w:r>
              <w:t>（</w:t>
            </w:r>
            <w:r>
              <w:rPr>
                <w:rFonts w:hint="eastAsia" w:ascii="宋体" w:hAnsi="宋体" w:cs="宋体"/>
                <w:color w:val="000000"/>
                <w:kern w:val="0"/>
                <w:sz w:val="20"/>
                <w:szCs w:val="20"/>
              </w:rPr>
              <w:t>30分</w:t>
            </w:r>
            <w:r>
              <w:t>）</w:t>
            </w: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经济效益</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帮扶对象增收率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社会效益</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教育教学认可度</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教育教学提高率</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生态效益</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60"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可持续影响指标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教育教学可持续影响期限</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长期</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长期</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满意度指标</w:t>
            </w:r>
            <w:r>
              <w:rPr>
                <w:rFonts w:hint="eastAsia" w:ascii="宋体" w:hAnsi="宋体" w:cs="宋体"/>
                <w:color w:val="000000"/>
                <w:kern w:val="0"/>
                <w:sz w:val="20"/>
                <w:szCs w:val="20"/>
              </w:rPr>
              <w:br w:type="textWrapping"/>
            </w:r>
            <w:r>
              <w:t>（</w:t>
            </w:r>
            <w:r>
              <w:rPr>
                <w:rFonts w:hint="eastAsia" w:ascii="宋体" w:hAnsi="宋体" w:cs="宋体"/>
                <w:color w:val="000000"/>
                <w:kern w:val="0"/>
                <w:sz w:val="20"/>
                <w:szCs w:val="20"/>
              </w:rPr>
              <w:t>10分</w:t>
            </w:r>
            <w:r>
              <w:t>）</w:t>
            </w:r>
          </w:p>
        </w:tc>
        <w:tc>
          <w:tcPr>
            <w:tcW w:w="103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服务对象</w:t>
            </w:r>
            <w:r>
              <w:rPr>
                <w:rFonts w:hint="eastAsia" w:ascii="宋体" w:hAnsi="宋体" w:cs="宋体"/>
                <w:color w:val="000000"/>
                <w:kern w:val="0"/>
                <w:sz w:val="20"/>
                <w:szCs w:val="20"/>
              </w:rPr>
              <w:br w:type="textWrapping"/>
            </w:r>
            <w:r>
              <w:rPr>
                <w:rFonts w:hint="eastAsia" w:ascii="宋体" w:hAnsi="宋体" w:cs="宋体"/>
                <w:color w:val="000000"/>
                <w:kern w:val="0"/>
                <w:sz w:val="20"/>
                <w:szCs w:val="20"/>
              </w:rPr>
              <w:t>满意度指标</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帮扶对象的满意度</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12"/>
                <w:szCs w:val="12"/>
              </w:rPr>
            </w:pPr>
            <w:r>
              <w:rPr>
                <w:rFonts w:hint="eastAsia" w:ascii="宋体" w:hAnsi="宋体" w:cs="宋体"/>
                <w:color w:val="000000"/>
                <w:kern w:val="0"/>
                <w:sz w:val="12"/>
                <w:szCs w:val="12"/>
              </w:rPr>
              <w:t>社会满意度</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100%</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555" w:type="dxa"/>
            <w:vMerge w:val="continue"/>
            <w:tcBorders>
              <w:top w:val="single" w:color="000000" w:sz="4" w:space="0"/>
              <w:left w:val="single" w:color="000000" w:sz="4" w:space="0"/>
              <w:bottom w:val="single" w:color="000000" w:sz="4" w:space="0"/>
              <w:right w:val="single" w:color="000000" w:sz="4" w:space="0"/>
            </w:tcBorders>
            <w:noWrap/>
            <w:textDirection w:val="tbRlV"/>
            <w:vAlign w:val="center"/>
          </w:tcPr>
          <w:p>
            <w:pPr>
              <w:jc w:val="center"/>
              <w:rPr>
                <w:rFonts w:ascii="宋体" w:hAnsi="宋体" w:cs="宋体"/>
                <w:color w:val="000000"/>
                <w:sz w:val="20"/>
                <w:szCs w:val="20"/>
              </w:rPr>
            </w:pPr>
          </w:p>
        </w:tc>
        <w:tc>
          <w:tcPr>
            <w:tcW w:w="1013"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rPr>
              <w:t>……</w:t>
            </w:r>
          </w:p>
        </w:tc>
        <w:tc>
          <w:tcPr>
            <w:tcW w:w="1039"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252" w:hRule="atLeast"/>
        </w:trPr>
        <w:tc>
          <w:tcPr>
            <w:tcW w:w="3642" w:type="dxa"/>
            <w:gridSpan w:val="4"/>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总分</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b/>
                <w:bCs/>
                <w:color w:val="000000"/>
                <w:sz w:val="20"/>
                <w:szCs w:val="20"/>
              </w:rPr>
            </w:pPr>
            <w:r>
              <w:rPr>
                <w:rFonts w:hint="eastAsia" w:ascii="宋体" w:hAnsi="宋体" w:cs="宋体"/>
                <w:b/>
                <w:bCs/>
                <w:color w:val="000000"/>
                <w:kern w:val="0"/>
                <w:sz w:val="20"/>
                <w:szCs w:val="20"/>
              </w:rPr>
              <w:t>100</w:t>
            </w:r>
          </w:p>
        </w:tc>
        <w:tc>
          <w:tcPr>
            <w:tcW w:w="2355"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b/>
                <w:bCs/>
                <w:color w:val="000000"/>
                <w:sz w:val="20"/>
                <w:szCs w:val="20"/>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b/>
                <w:bCs/>
                <w:color w:val="000000"/>
                <w:sz w:val="20"/>
                <w:szCs w:val="20"/>
              </w:rPr>
            </w:pPr>
          </w:p>
        </w:tc>
        <w:tc>
          <w:tcPr>
            <w:tcW w:w="2599"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0"/>
                <w:szCs w:val="20"/>
              </w:rPr>
            </w:pPr>
          </w:p>
        </w:tc>
      </w:tr>
    </w:tbl>
    <w:p>
      <w:pPr>
        <w:spacing w:line="600" w:lineRule="exact"/>
        <w:rPr>
          <w:rFonts w:ascii="黑体" w:hAnsi="黑体" w:eastAsia="黑体"/>
          <w:sz w:val="28"/>
          <w:szCs w:val="28"/>
        </w:rPr>
      </w:pPr>
    </w:p>
    <w:p>
      <w:pPr>
        <w:pStyle w:val="3"/>
        <w:spacing w:before="93"/>
        <w:rPr>
          <w:rFonts w:ascii="黑体" w:hAnsi="黑体" w:eastAsia="黑体"/>
          <w:sz w:val="28"/>
          <w:szCs w:val="28"/>
        </w:rPr>
      </w:pPr>
    </w:p>
    <w:p>
      <w:pPr>
        <w:pStyle w:val="3"/>
        <w:spacing w:before="93"/>
        <w:rPr>
          <w:rFonts w:ascii="黑体" w:hAnsi="黑体" w:eastAsia="黑体"/>
          <w:sz w:val="28"/>
          <w:szCs w:val="28"/>
        </w:rPr>
      </w:pPr>
    </w:p>
    <w:p>
      <w:pPr>
        <w:spacing w:line="600" w:lineRule="exact"/>
        <w:jc w:val="center"/>
        <w:rPr>
          <w:rStyle w:val="21"/>
          <w:rFonts w:ascii="黑体" w:hAnsi="黑体" w:eastAsia="黑体"/>
          <w:b w:val="0"/>
        </w:rPr>
      </w:pPr>
    </w:p>
    <w:p>
      <w:pPr>
        <w:pStyle w:val="3"/>
        <w:spacing w:before="93"/>
        <w:rPr>
          <w:rStyle w:val="21"/>
          <w:rFonts w:ascii="黑体" w:hAnsi="黑体" w:eastAsia="黑体"/>
          <w:b w:val="0"/>
        </w:rPr>
      </w:pPr>
    </w:p>
    <w:p>
      <w:pPr>
        <w:spacing w:line="600" w:lineRule="exact"/>
        <w:rPr>
          <w:rStyle w:val="21"/>
          <w:rFonts w:ascii="黑体" w:hAnsi="黑体" w:eastAsia="黑体"/>
          <w:b w:val="0"/>
        </w:rPr>
      </w:pPr>
    </w:p>
    <w:p>
      <w:pPr>
        <w:pStyle w:val="3"/>
        <w:spacing w:before="93"/>
        <w:rPr>
          <w:rStyle w:val="21"/>
          <w:rFonts w:ascii="黑体" w:hAnsi="黑体" w:eastAsia="黑体"/>
          <w:b w:val="0"/>
        </w:rPr>
      </w:pPr>
    </w:p>
    <w:p>
      <w:pPr>
        <w:pStyle w:val="3"/>
        <w:spacing w:before="93"/>
        <w:rPr>
          <w:rStyle w:val="21"/>
          <w:rFonts w:ascii="黑体" w:hAnsi="黑体" w:eastAsia="黑体"/>
          <w:b w:val="0"/>
        </w:rPr>
      </w:pPr>
    </w:p>
    <w:p>
      <w:pPr>
        <w:pStyle w:val="3"/>
        <w:spacing w:before="93"/>
        <w:rPr>
          <w:rStyle w:val="21"/>
          <w:rFonts w:ascii="黑体" w:hAnsi="黑体" w:eastAsia="黑体"/>
          <w:b w:val="0"/>
        </w:rPr>
      </w:pPr>
    </w:p>
    <w:p>
      <w:pPr>
        <w:spacing w:line="600" w:lineRule="exact"/>
        <w:jc w:val="center"/>
        <w:outlineLvl w:val="0"/>
        <w:rPr>
          <w:rStyle w:val="21"/>
          <w:rFonts w:ascii="黑体" w:hAnsi="黑体" w:eastAsia="黑体"/>
          <w:b w:val="0"/>
        </w:rPr>
      </w:pPr>
      <w:bookmarkStart w:id="83" w:name="_Toc29947"/>
      <w:r>
        <w:rPr>
          <w:rStyle w:val="21"/>
          <w:rFonts w:hint="eastAsia" w:ascii="黑体" w:hAnsi="黑体" w:eastAsia="黑体"/>
          <w:b w:val="0"/>
        </w:rPr>
        <w:t>第五部分附表</w:t>
      </w:r>
      <w:bookmarkEnd w:id="83"/>
      <w:bookmarkStart w:id="84" w:name="_Toc15396619"/>
    </w:p>
    <w:p>
      <w:pPr>
        <w:spacing w:line="600" w:lineRule="exact"/>
        <w:rPr>
          <w:rFonts w:ascii="仿宋" w:hAnsi="仿宋" w:eastAsia="仿宋"/>
          <w:sz w:val="28"/>
          <w:szCs w:val="28"/>
        </w:rPr>
      </w:pPr>
    </w:p>
    <w:p>
      <w:pPr>
        <w:spacing w:line="640" w:lineRule="exact"/>
        <w:outlineLvl w:val="0"/>
        <w:rPr>
          <w:rFonts w:ascii="仿宋" w:hAnsi="仿宋" w:eastAsia="仿宋"/>
        </w:rPr>
      </w:pPr>
      <w:bookmarkStart w:id="85" w:name="_Toc27423"/>
      <w:r>
        <w:rPr>
          <w:rFonts w:hint="eastAsia" w:ascii="仿宋" w:hAnsi="仿宋" w:eastAsia="仿宋"/>
          <w:sz w:val="28"/>
          <w:szCs w:val="28"/>
        </w:rPr>
        <w:t>一、收</w:t>
      </w:r>
      <w:r>
        <w:rPr>
          <w:rStyle w:val="16"/>
          <w:rFonts w:hint="eastAsia" w:ascii="仿宋" w:hAnsi="仿宋" w:eastAsia="仿宋"/>
          <w:b w:val="0"/>
          <w:bCs w:val="0"/>
          <w:sz w:val="28"/>
          <w:szCs w:val="28"/>
        </w:rPr>
        <w:t>入支出</w:t>
      </w:r>
      <w:r>
        <w:rPr>
          <w:rFonts w:hint="eastAsia" w:ascii="仿宋" w:hAnsi="仿宋" w:eastAsia="仿宋"/>
          <w:sz w:val="28"/>
          <w:szCs w:val="28"/>
        </w:rPr>
        <w:t>决</w:t>
      </w:r>
      <w:r>
        <w:rPr>
          <w:rStyle w:val="16"/>
          <w:rFonts w:hint="eastAsia" w:ascii="仿宋" w:hAnsi="仿宋" w:eastAsia="仿宋"/>
          <w:b w:val="0"/>
          <w:bCs w:val="0"/>
          <w:sz w:val="28"/>
          <w:szCs w:val="28"/>
        </w:rPr>
        <w:t>算</w:t>
      </w:r>
      <w:r>
        <w:rPr>
          <w:rFonts w:hint="eastAsia" w:ascii="仿宋" w:hAnsi="仿宋" w:eastAsia="仿宋"/>
          <w:sz w:val="28"/>
          <w:szCs w:val="28"/>
        </w:rPr>
        <w:t>表</w:t>
      </w:r>
      <w:bookmarkEnd w:id="84"/>
      <w:bookmarkEnd w:id="85"/>
    </w:p>
    <w:p>
      <w:pPr>
        <w:pStyle w:val="14"/>
        <w:spacing w:before="0" w:after="0" w:line="640" w:lineRule="exact"/>
        <w:rPr>
          <w:rFonts w:ascii="仿宋" w:hAnsi="仿宋" w:eastAsia="仿宋"/>
        </w:rPr>
      </w:pPr>
      <w:bookmarkStart w:id="86" w:name="_Toc19471"/>
      <w:bookmarkStart w:id="87" w:name="_Toc15396620"/>
      <w:r>
        <w:rPr>
          <w:rFonts w:hint="eastAsia" w:ascii="仿宋" w:hAnsi="仿宋" w:eastAsia="仿宋"/>
          <w:b w:val="0"/>
        </w:rPr>
        <w:t>二、收</w:t>
      </w:r>
      <w:r>
        <w:rPr>
          <w:rStyle w:val="16"/>
          <w:rFonts w:hint="eastAsia" w:ascii="仿宋" w:hAnsi="仿宋" w:eastAsia="仿宋"/>
          <w:b w:val="0"/>
          <w:bCs w:val="0"/>
        </w:rPr>
        <w:t>入决算</w:t>
      </w:r>
      <w:r>
        <w:rPr>
          <w:rFonts w:hint="eastAsia" w:ascii="仿宋" w:hAnsi="仿宋" w:eastAsia="仿宋"/>
          <w:b w:val="0"/>
          <w:bCs w:val="0"/>
        </w:rPr>
        <w:t>表</w:t>
      </w:r>
      <w:bookmarkEnd w:id="86"/>
      <w:bookmarkEnd w:id="87"/>
    </w:p>
    <w:p>
      <w:pPr>
        <w:pStyle w:val="14"/>
        <w:spacing w:before="0" w:after="0" w:line="640" w:lineRule="exact"/>
        <w:rPr>
          <w:rFonts w:ascii="仿宋" w:hAnsi="仿宋" w:eastAsia="仿宋"/>
        </w:rPr>
      </w:pPr>
      <w:bookmarkStart w:id="88" w:name="_Toc15396621"/>
      <w:bookmarkStart w:id="89" w:name="_Toc22295"/>
      <w:r>
        <w:rPr>
          <w:rStyle w:val="16"/>
          <w:rFonts w:hint="eastAsia" w:ascii="仿宋" w:hAnsi="仿宋" w:eastAsia="仿宋"/>
          <w:b w:val="0"/>
          <w:bCs w:val="0"/>
        </w:rPr>
        <w:t>三、</w:t>
      </w:r>
      <w:r>
        <w:rPr>
          <w:rFonts w:hint="eastAsia" w:ascii="仿宋" w:hAnsi="仿宋" w:eastAsia="仿宋"/>
          <w:b w:val="0"/>
        </w:rPr>
        <w:t>支出</w:t>
      </w:r>
      <w:r>
        <w:rPr>
          <w:rFonts w:hint="eastAsia" w:ascii="仿宋" w:hAnsi="仿宋" w:eastAsia="仿宋"/>
          <w:b w:val="0"/>
          <w:bCs w:val="0"/>
        </w:rPr>
        <w:t>决</w:t>
      </w:r>
      <w:r>
        <w:rPr>
          <w:rStyle w:val="16"/>
          <w:rFonts w:hint="eastAsia" w:ascii="仿宋" w:hAnsi="仿宋" w:eastAsia="仿宋"/>
          <w:b w:val="0"/>
          <w:bCs w:val="0"/>
        </w:rPr>
        <w:t>算</w:t>
      </w:r>
      <w:r>
        <w:rPr>
          <w:rFonts w:hint="eastAsia" w:ascii="仿宋" w:hAnsi="仿宋" w:eastAsia="仿宋"/>
          <w:b w:val="0"/>
          <w:bCs w:val="0"/>
        </w:rPr>
        <w:t>表</w:t>
      </w:r>
      <w:bookmarkEnd w:id="88"/>
      <w:bookmarkEnd w:id="89"/>
    </w:p>
    <w:p>
      <w:pPr>
        <w:pStyle w:val="14"/>
        <w:spacing w:before="0" w:after="0" w:line="640" w:lineRule="exact"/>
        <w:rPr>
          <w:rFonts w:ascii="仿宋" w:hAnsi="仿宋" w:eastAsia="仿宋"/>
          <w:b w:val="0"/>
        </w:rPr>
      </w:pPr>
      <w:bookmarkStart w:id="90" w:name="_Toc15396622"/>
      <w:bookmarkStart w:id="91" w:name="_Toc1190"/>
      <w:r>
        <w:rPr>
          <w:rStyle w:val="16"/>
          <w:rFonts w:hint="eastAsia" w:ascii="仿宋" w:hAnsi="仿宋" w:eastAsia="仿宋"/>
          <w:b w:val="0"/>
          <w:bCs w:val="0"/>
        </w:rPr>
        <w:t>四、</w:t>
      </w:r>
      <w:r>
        <w:rPr>
          <w:rFonts w:hint="eastAsia" w:ascii="仿宋" w:hAnsi="仿宋" w:eastAsia="仿宋"/>
          <w:b w:val="0"/>
        </w:rPr>
        <w:t>财</w:t>
      </w:r>
      <w:r>
        <w:rPr>
          <w:rStyle w:val="16"/>
          <w:rFonts w:hint="eastAsia" w:ascii="仿宋" w:hAnsi="仿宋" w:eastAsia="仿宋"/>
          <w:b w:val="0"/>
          <w:bCs w:val="0"/>
        </w:rPr>
        <w:t>政拨款收入支出</w:t>
      </w:r>
      <w:r>
        <w:rPr>
          <w:rFonts w:hint="eastAsia" w:ascii="仿宋" w:hAnsi="仿宋" w:eastAsia="仿宋"/>
          <w:b w:val="0"/>
          <w:bCs w:val="0"/>
        </w:rPr>
        <w:t>决</w:t>
      </w:r>
      <w:r>
        <w:rPr>
          <w:rStyle w:val="16"/>
          <w:rFonts w:hint="eastAsia" w:ascii="仿宋" w:hAnsi="仿宋" w:eastAsia="仿宋"/>
          <w:b w:val="0"/>
          <w:bCs w:val="0"/>
        </w:rPr>
        <w:t>算</w:t>
      </w:r>
      <w:r>
        <w:rPr>
          <w:rFonts w:hint="eastAsia" w:ascii="仿宋" w:hAnsi="仿宋" w:eastAsia="仿宋"/>
          <w:b w:val="0"/>
          <w:bCs w:val="0"/>
        </w:rPr>
        <w:t>总表</w:t>
      </w:r>
      <w:bookmarkEnd w:id="90"/>
      <w:bookmarkEnd w:id="91"/>
    </w:p>
    <w:p>
      <w:pPr>
        <w:pStyle w:val="14"/>
        <w:spacing w:before="0" w:after="0" w:line="640" w:lineRule="exact"/>
        <w:rPr>
          <w:rStyle w:val="16"/>
          <w:rFonts w:ascii="仿宋" w:hAnsi="仿宋" w:eastAsia="仿宋"/>
          <w:b w:val="0"/>
          <w:bCs w:val="0"/>
        </w:rPr>
      </w:pPr>
      <w:bookmarkStart w:id="92" w:name="_Toc15396623"/>
      <w:bookmarkStart w:id="93" w:name="_Toc18291"/>
      <w:r>
        <w:rPr>
          <w:rStyle w:val="16"/>
          <w:rFonts w:hint="eastAsia" w:ascii="仿宋" w:hAnsi="仿宋" w:eastAsia="仿宋"/>
          <w:b w:val="0"/>
          <w:bCs w:val="0"/>
        </w:rPr>
        <w:t>五、</w:t>
      </w:r>
      <w:r>
        <w:rPr>
          <w:rFonts w:hint="eastAsia" w:ascii="仿宋" w:hAnsi="仿宋" w:eastAsia="仿宋"/>
          <w:b w:val="0"/>
        </w:rPr>
        <w:t>财</w:t>
      </w:r>
      <w:r>
        <w:rPr>
          <w:rStyle w:val="16"/>
          <w:rFonts w:hint="eastAsia" w:ascii="仿宋" w:hAnsi="仿宋" w:eastAsia="仿宋"/>
          <w:b w:val="0"/>
          <w:bCs w:val="0"/>
        </w:rPr>
        <w:t>政拨款支出</w:t>
      </w:r>
      <w:r>
        <w:rPr>
          <w:rFonts w:hint="eastAsia" w:ascii="仿宋" w:hAnsi="仿宋" w:eastAsia="仿宋"/>
          <w:b w:val="0"/>
          <w:bCs w:val="0"/>
        </w:rPr>
        <w:t>决</w:t>
      </w:r>
      <w:r>
        <w:rPr>
          <w:rStyle w:val="16"/>
          <w:rFonts w:hint="eastAsia" w:ascii="仿宋" w:hAnsi="仿宋" w:eastAsia="仿宋"/>
          <w:b w:val="0"/>
          <w:bCs w:val="0"/>
        </w:rPr>
        <w:t>算</w:t>
      </w:r>
      <w:r>
        <w:rPr>
          <w:rFonts w:hint="eastAsia" w:ascii="仿宋" w:hAnsi="仿宋" w:eastAsia="仿宋"/>
          <w:b w:val="0"/>
          <w:bCs w:val="0"/>
        </w:rPr>
        <w:t>明细表</w:t>
      </w:r>
      <w:bookmarkEnd w:id="92"/>
      <w:bookmarkEnd w:id="93"/>
      <w:bookmarkStart w:id="94" w:name="_Toc15396624"/>
    </w:p>
    <w:p>
      <w:pPr>
        <w:pStyle w:val="14"/>
        <w:spacing w:before="0" w:after="0" w:line="640" w:lineRule="exact"/>
        <w:rPr>
          <w:rFonts w:ascii="仿宋" w:hAnsi="仿宋" w:eastAsia="仿宋"/>
        </w:rPr>
      </w:pPr>
      <w:bookmarkStart w:id="95" w:name="_Toc13901"/>
      <w:r>
        <w:rPr>
          <w:rStyle w:val="16"/>
          <w:rFonts w:hint="eastAsia" w:ascii="仿宋" w:hAnsi="仿宋" w:eastAsia="仿宋"/>
          <w:b w:val="0"/>
          <w:bCs w:val="0"/>
        </w:rPr>
        <w:t>六、</w:t>
      </w:r>
      <w:r>
        <w:rPr>
          <w:rFonts w:hint="eastAsia" w:ascii="仿宋" w:hAnsi="仿宋" w:eastAsia="仿宋"/>
          <w:b w:val="0"/>
        </w:rPr>
        <w:t>一</w:t>
      </w:r>
      <w:r>
        <w:rPr>
          <w:rStyle w:val="16"/>
          <w:rFonts w:hint="eastAsia" w:ascii="仿宋" w:hAnsi="仿宋" w:eastAsia="仿宋"/>
          <w:b w:val="0"/>
          <w:bCs w:val="0"/>
        </w:rPr>
        <w:t>般公共预算</w:t>
      </w:r>
      <w:r>
        <w:rPr>
          <w:rFonts w:hint="eastAsia" w:ascii="仿宋" w:hAnsi="仿宋" w:eastAsia="仿宋"/>
          <w:b w:val="0"/>
          <w:bCs w:val="0"/>
        </w:rPr>
        <w:t>财政拨款支出决算表</w:t>
      </w:r>
      <w:bookmarkEnd w:id="94"/>
      <w:bookmarkEnd w:id="95"/>
    </w:p>
    <w:p>
      <w:pPr>
        <w:pStyle w:val="14"/>
        <w:spacing w:before="0" w:after="0" w:line="640" w:lineRule="exact"/>
        <w:rPr>
          <w:rFonts w:ascii="仿宋" w:hAnsi="仿宋" w:eastAsia="仿宋"/>
        </w:rPr>
      </w:pPr>
      <w:bookmarkStart w:id="96" w:name="_Toc15396625"/>
      <w:bookmarkStart w:id="97" w:name="_Toc14062"/>
      <w:r>
        <w:rPr>
          <w:rStyle w:val="16"/>
          <w:rFonts w:hint="eastAsia" w:ascii="仿宋" w:hAnsi="仿宋" w:eastAsia="仿宋"/>
          <w:b w:val="0"/>
          <w:bCs w:val="0"/>
        </w:rPr>
        <w:t>七、</w:t>
      </w:r>
      <w:r>
        <w:rPr>
          <w:rFonts w:hint="eastAsia" w:ascii="仿宋" w:hAnsi="仿宋" w:eastAsia="仿宋"/>
          <w:b w:val="0"/>
        </w:rPr>
        <w:t>一</w:t>
      </w:r>
      <w:r>
        <w:rPr>
          <w:rStyle w:val="16"/>
          <w:rFonts w:hint="eastAsia" w:ascii="仿宋" w:hAnsi="仿宋" w:eastAsia="仿宋"/>
          <w:b w:val="0"/>
          <w:bCs w:val="0"/>
        </w:rPr>
        <w:t>般公共预算</w:t>
      </w:r>
      <w:r>
        <w:rPr>
          <w:rFonts w:hint="eastAsia" w:ascii="仿宋" w:hAnsi="仿宋" w:eastAsia="仿宋"/>
          <w:b w:val="0"/>
          <w:bCs w:val="0"/>
        </w:rPr>
        <w:t>财政拨款支出决算明细表</w:t>
      </w:r>
      <w:bookmarkEnd w:id="96"/>
      <w:bookmarkEnd w:id="97"/>
    </w:p>
    <w:p>
      <w:pPr>
        <w:pStyle w:val="14"/>
        <w:spacing w:before="0" w:after="0" w:line="640" w:lineRule="exact"/>
        <w:rPr>
          <w:rFonts w:ascii="仿宋" w:hAnsi="仿宋" w:eastAsia="仿宋"/>
        </w:rPr>
      </w:pPr>
      <w:bookmarkStart w:id="98" w:name="_Toc15396626"/>
      <w:bookmarkStart w:id="99" w:name="_Toc13485"/>
      <w:r>
        <w:rPr>
          <w:rStyle w:val="16"/>
          <w:rFonts w:hint="eastAsia" w:ascii="仿宋" w:hAnsi="仿宋" w:eastAsia="仿宋"/>
          <w:b w:val="0"/>
          <w:bCs w:val="0"/>
        </w:rPr>
        <w:t>八、</w:t>
      </w:r>
      <w:r>
        <w:rPr>
          <w:rFonts w:hint="eastAsia" w:ascii="仿宋" w:hAnsi="仿宋" w:eastAsia="仿宋"/>
          <w:b w:val="0"/>
        </w:rPr>
        <w:t>一</w:t>
      </w:r>
      <w:r>
        <w:rPr>
          <w:rStyle w:val="16"/>
          <w:rFonts w:hint="eastAsia" w:ascii="仿宋" w:hAnsi="仿宋" w:eastAsia="仿宋"/>
          <w:b w:val="0"/>
          <w:bCs w:val="0"/>
        </w:rPr>
        <w:t>般公共预算</w:t>
      </w:r>
      <w:r>
        <w:rPr>
          <w:rFonts w:hint="eastAsia" w:ascii="仿宋" w:hAnsi="仿宋" w:eastAsia="仿宋"/>
          <w:b w:val="0"/>
          <w:bCs w:val="0"/>
        </w:rPr>
        <w:t>财政拨款基本支出决算表</w:t>
      </w:r>
      <w:bookmarkEnd w:id="98"/>
      <w:bookmarkEnd w:id="99"/>
    </w:p>
    <w:p>
      <w:pPr>
        <w:pStyle w:val="14"/>
        <w:spacing w:before="0" w:after="0" w:line="640" w:lineRule="exact"/>
        <w:rPr>
          <w:rFonts w:ascii="仿宋" w:hAnsi="仿宋" w:eastAsia="仿宋"/>
        </w:rPr>
      </w:pPr>
      <w:bookmarkStart w:id="100" w:name="_Toc15396627"/>
      <w:bookmarkStart w:id="101" w:name="_Toc18176"/>
      <w:r>
        <w:rPr>
          <w:rStyle w:val="16"/>
          <w:rFonts w:hint="eastAsia" w:ascii="仿宋" w:hAnsi="仿宋" w:eastAsia="仿宋"/>
          <w:b w:val="0"/>
          <w:bCs w:val="0"/>
        </w:rPr>
        <w:t>九、</w:t>
      </w:r>
      <w:r>
        <w:rPr>
          <w:rFonts w:hint="eastAsia" w:ascii="仿宋" w:hAnsi="仿宋" w:eastAsia="仿宋"/>
          <w:b w:val="0"/>
        </w:rPr>
        <w:t>一</w:t>
      </w:r>
      <w:r>
        <w:rPr>
          <w:rStyle w:val="16"/>
          <w:rFonts w:hint="eastAsia" w:ascii="仿宋" w:hAnsi="仿宋" w:eastAsia="仿宋"/>
          <w:b w:val="0"/>
          <w:bCs w:val="0"/>
        </w:rPr>
        <w:t>般公共预算</w:t>
      </w:r>
      <w:r>
        <w:rPr>
          <w:rFonts w:hint="eastAsia" w:ascii="仿宋" w:hAnsi="仿宋" w:eastAsia="仿宋"/>
          <w:b w:val="0"/>
          <w:bCs w:val="0"/>
        </w:rPr>
        <w:t>财政拨款项目支出决算表</w:t>
      </w:r>
      <w:bookmarkEnd w:id="100"/>
      <w:bookmarkEnd w:id="101"/>
    </w:p>
    <w:p>
      <w:pPr>
        <w:pStyle w:val="14"/>
        <w:spacing w:before="0" w:after="0" w:line="640" w:lineRule="exact"/>
        <w:rPr>
          <w:rFonts w:ascii="仿宋" w:hAnsi="仿宋" w:eastAsia="仿宋"/>
        </w:rPr>
      </w:pPr>
      <w:bookmarkStart w:id="102" w:name="_Toc3588"/>
      <w:bookmarkStart w:id="103" w:name="_Toc15396628"/>
      <w:r>
        <w:rPr>
          <w:rStyle w:val="16"/>
          <w:rFonts w:hint="eastAsia" w:ascii="仿宋" w:hAnsi="仿宋" w:eastAsia="仿宋"/>
          <w:b w:val="0"/>
          <w:bCs w:val="0"/>
        </w:rPr>
        <w:t>十、</w:t>
      </w:r>
      <w:r>
        <w:rPr>
          <w:rFonts w:hint="eastAsia" w:ascii="仿宋" w:hAnsi="仿宋" w:eastAsia="仿宋"/>
          <w:b w:val="0"/>
        </w:rPr>
        <w:t>一</w:t>
      </w:r>
      <w:r>
        <w:rPr>
          <w:rStyle w:val="16"/>
          <w:rFonts w:hint="eastAsia" w:ascii="仿宋" w:hAnsi="仿宋" w:eastAsia="仿宋"/>
          <w:b w:val="0"/>
          <w:bCs w:val="0"/>
        </w:rPr>
        <w:t>般公共预算</w:t>
      </w:r>
      <w:r>
        <w:rPr>
          <w:rFonts w:hint="eastAsia" w:ascii="仿宋" w:hAnsi="仿宋" w:eastAsia="仿宋"/>
          <w:b w:val="0"/>
          <w:bCs w:val="0"/>
        </w:rPr>
        <w:t>财政拨</w:t>
      </w:r>
      <w:r>
        <w:rPr>
          <w:rStyle w:val="16"/>
          <w:rFonts w:hint="eastAsia" w:ascii="仿宋" w:hAnsi="仿宋" w:eastAsia="仿宋"/>
          <w:b w:val="0"/>
          <w:bCs w:val="0"/>
        </w:rPr>
        <w:t>款“三公”经费支出</w:t>
      </w:r>
      <w:r>
        <w:rPr>
          <w:rFonts w:hint="eastAsia" w:ascii="仿宋" w:hAnsi="仿宋" w:eastAsia="仿宋"/>
          <w:b w:val="0"/>
          <w:bCs w:val="0"/>
        </w:rPr>
        <w:t>决</w:t>
      </w:r>
      <w:r>
        <w:rPr>
          <w:rStyle w:val="16"/>
          <w:rFonts w:hint="eastAsia" w:ascii="仿宋" w:hAnsi="仿宋" w:eastAsia="仿宋"/>
          <w:b w:val="0"/>
          <w:bCs w:val="0"/>
        </w:rPr>
        <w:t>算</w:t>
      </w:r>
      <w:r>
        <w:rPr>
          <w:rFonts w:hint="eastAsia" w:ascii="仿宋" w:hAnsi="仿宋" w:eastAsia="仿宋"/>
          <w:b w:val="0"/>
          <w:bCs w:val="0"/>
        </w:rPr>
        <w:t>表</w:t>
      </w:r>
      <w:bookmarkEnd w:id="102"/>
      <w:bookmarkEnd w:id="103"/>
    </w:p>
    <w:p>
      <w:pPr>
        <w:pStyle w:val="14"/>
        <w:spacing w:before="0" w:after="0" w:line="640" w:lineRule="exact"/>
        <w:rPr>
          <w:rFonts w:ascii="仿宋" w:hAnsi="仿宋" w:eastAsia="仿宋"/>
        </w:rPr>
      </w:pPr>
      <w:bookmarkStart w:id="104" w:name="_Toc7404"/>
      <w:bookmarkStart w:id="105" w:name="_Toc15396629"/>
      <w:r>
        <w:rPr>
          <w:rStyle w:val="16"/>
          <w:rFonts w:hint="eastAsia" w:ascii="仿宋" w:hAnsi="仿宋" w:eastAsia="仿宋"/>
          <w:b w:val="0"/>
          <w:bCs w:val="0"/>
        </w:rPr>
        <w:t>十一、</w:t>
      </w:r>
      <w:r>
        <w:rPr>
          <w:rFonts w:hint="eastAsia" w:ascii="仿宋" w:hAnsi="仿宋" w:eastAsia="仿宋"/>
          <w:b w:val="0"/>
        </w:rPr>
        <w:t>政</w:t>
      </w:r>
      <w:r>
        <w:rPr>
          <w:rStyle w:val="16"/>
          <w:rFonts w:hint="eastAsia" w:ascii="仿宋" w:hAnsi="仿宋" w:eastAsia="仿宋"/>
          <w:b w:val="0"/>
          <w:bCs w:val="0"/>
        </w:rPr>
        <w:t>府性基金预算</w:t>
      </w:r>
      <w:r>
        <w:rPr>
          <w:rFonts w:hint="eastAsia" w:ascii="仿宋" w:hAnsi="仿宋" w:eastAsia="仿宋"/>
          <w:b w:val="0"/>
          <w:bCs w:val="0"/>
        </w:rPr>
        <w:t>财政拨款收入支出决算表</w:t>
      </w:r>
      <w:bookmarkEnd w:id="104"/>
      <w:bookmarkEnd w:id="105"/>
    </w:p>
    <w:p>
      <w:pPr>
        <w:pStyle w:val="14"/>
        <w:spacing w:before="0" w:after="0" w:line="640" w:lineRule="exact"/>
        <w:rPr>
          <w:rFonts w:ascii="仿宋" w:hAnsi="仿宋" w:eastAsia="仿宋"/>
        </w:rPr>
      </w:pPr>
      <w:bookmarkStart w:id="106" w:name="_Toc15396630"/>
      <w:bookmarkStart w:id="107" w:name="_Toc27273"/>
      <w:r>
        <w:rPr>
          <w:rStyle w:val="16"/>
          <w:rFonts w:hint="eastAsia" w:ascii="仿宋" w:hAnsi="仿宋" w:eastAsia="仿宋"/>
          <w:b w:val="0"/>
          <w:bCs w:val="0"/>
        </w:rPr>
        <w:t>十二、</w:t>
      </w:r>
      <w:r>
        <w:rPr>
          <w:rFonts w:hint="eastAsia" w:ascii="仿宋" w:hAnsi="仿宋" w:eastAsia="仿宋"/>
          <w:b w:val="0"/>
        </w:rPr>
        <w:t>政</w:t>
      </w:r>
      <w:r>
        <w:rPr>
          <w:rStyle w:val="16"/>
          <w:rFonts w:hint="eastAsia" w:ascii="仿宋" w:hAnsi="仿宋" w:eastAsia="仿宋"/>
          <w:b w:val="0"/>
          <w:bCs w:val="0"/>
        </w:rPr>
        <w:t>府性基金预算</w:t>
      </w:r>
      <w:r>
        <w:rPr>
          <w:rFonts w:hint="eastAsia" w:ascii="仿宋" w:hAnsi="仿宋" w:eastAsia="仿宋"/>
          <w:b w:val="0"/>
          <w:bCs w:val="0"/>
        </w:rPr>
        <w:t>财政拨</w:t>
      </w:r>
      <w:r>
        <w:rPr>
          <w:rStyle w:val="16"/>
          <w:rFonts w:hint="eastAsia" w:ascii="仿宋" w:hAnsi="仿宋" w:eastAsia="仿宋"/>
          <w:b w:val="0"/>
          <w:bCs w:val="0"/>
        </w:rPr>
        <w:t>款“三公”经费支出</w:t>
      </w:r>
      <w:r>
        <w:rPr>
          <w:rFonts w:hint="eastAsia" w:ascii="仿宋" w:hAnsi="仿宋" w:eastAsia="仿宋"/>
          <w:b w:val="0"/>
          <w:bCs w:val="0"/>
        </w:rPr>
        <w:t>决</w:t>
      </w:r>
      <w:r>
        <w:rPr>
          <w:rStyle w:val="16"/>
          <w:rFonts w:hint="eastAsia" w:ascii="仿宋" w:hAnsi="仿宋" w:eastAsia="仿宋"/>
          <w:b w:val="0"/>
          <w:bCs w:val="0"/>
        </w:rPr>
        <w:t>算</w:t>
      </w:r>
      <w:r>
        <w:rPr>
          <w:rFonts w:hint="eastAsia" w:ascii="仿宋" w:hAnsi="仿宋" w:eastAsia="仿宋"/>
          <w:b w:val="0"/>
          <w:bCs w:val="0"/>
        </w:rPr>
        <w:t>表</w:t>
      </w:r>
      <w:bookmarkEnd w:id="106"/>
      <w:bookmarkEnd w:id="107"/>
    </w:p>
    <w:p>
      <w:pPr>
        <w:pStyle w:val="14"/>
        <w:spacing w:before="0" w:after="0" w:line="640" w:lineRule="exact"/>
        <w:rPr>
          <w:rStyle w:val="16"/>
          <w:rFonts w:ascii="仿宋" w:hAnsi="仿宋" w:eastAsia="仿宋"/>
          <w:b w:val="0"/>
          <w:bCs w:val="0"/>
        </w:rPr>
      </w:pPr>
      <w:bookmarkStart w:id="108" w:name="_Toc15396631"/>
      <w:bookmarkStart w:id="109" w:name="_Toc24613"/>
      <w:r>
        <w:rPr>
          <w:rStyle w:val="16"/>
          <w:rFonts w:hint="eastAsia" w:ascii="仿宋" w:hAnsi="仿宋" w:eastAsia="仿宋"/>
          <w:b w:val="0"/>
          <w:bCs w:val="0"/>
        </w:rPr>
        <w:t>十三、</w:t>
      </w:r>
      <w:r>
        <w:rPr>
          <w:rFonts w:hint="eastAsia" w:ascii="仿宋" w:hAnsi="仿宋" w:eastAsia="仿宋"/>
          <w:b w:val="0"/>
        </w:rPr>
        <w:t>国</w:t>
      </w:r>
      <w:r>
        <w:rPr>
          <w:rStyle w:val="16"/>
          <w:rFonts w:hint="eastAsia" w:ascii="仿宋" w:hAnsi="仿宋" w:eastAsia="仿宋"/>
          <w:b w:val="0"/>
          <w:bCs w:val="0"/>
        </w:rPr>
        <w:t>有资本经营预算</w:t>
      </w:r>
      <w:r>
        <w:rPr>
          <w:rFonts w:hint="eastAsia" w:ascii="仿宋" w:hAnsi="仿宋" w:eastAsia="仿宋"/>
          <w:b w:val="0"/>
          <w:bCs w:val="0"/>
        </w:rPr>
        <w:t>财政拨款支出决算表</w:t>
      </w:r>
      <w:bookmarkEnd w:id="108"/>
      <w:bookmarkEnd w:id="109"/>
    </w:p>
    <w:p>
      <w:pPr>
        <w:pStyle w:val="14"/>
        <w:spacing w:before="0" w:after="0" w:line="640" w:lineRule="exact"/>
        <w:rPr>
          <w:rStyle w:val="16"/>
          <w:rFonts w:ascii="仿宋" w:hAnsi="仿宋" w:eastAsia="仿宋"/>
          <w:b w:val="0"/>
          <w:bCs w:val="0"/>
        </w:rPr>
      </w:pPr>
      <w:bookmarkStart w:id="110" w:name="_Toc15274"/>
      <w:r>
        <w:rPr>
          <w:rStyle w:val="16"/>
          <w:rFonts w:hint="eastAsia" w:ascii="仿宋" w:hAnsi="仿宋" w:eastAsia="仿宋"/>
          <w:b w:val="0"/>
          <w:bCs w:val="0"/>
        </w:rPr>
        <w:t>十四、国有资本经营预算</w:t>
      </w:r>
      <w:r>
        <w:rPr>
          <w:rFonts w:hint="eastAsia" w:ascii="仿宋" w:hAnsi="仿宋" w:eastAsia="仿宋"/>
          <w:b w:val="0"/>
          <w:bCs w:val="0"/>
        </w:rPr>
        <w:t>财政拨款支出决算表</w:t>
      </w:r>
      <w:bookmarkEnd w:id="110"/>
    </w:p>
    <w:p>
      <w:pPr>
        <w:pStyle w:val="3"/>
        <w:spacing w:beforeLines="0" w:line="640" w:lineRule="exact"/>
        <w:ind w:firstLine="640" w:firstLineChars="200"/>
        <w:rPr>
          <w:rStyle w:val="20"/>
          <w:rFonts w:ascii="宋体" w:hAnsi="宋体" w:cs="宋体"/>
          <w:b w:val="0"/>
        </w:rPr>
      </w:pPr>
    </w:p>
    <w:p>
      <w:pPr>
        <w:pStyle w:val="3"/>
        <w:spacing w:before="93"/>
        <w:rPr>
          <w:rStyle w:val="20"/>
          <w:rFonts w:ascii="宋体" w:hAnsi="宋体" w:cs="宋体"/>
          <w:b w:val="0"/>
        </w:rPr>
      </w:pPr>
    </w:p>
    <w:sectPr>
      <w:footerReference r:id="rId4" w:type="default"/>
      <w:pgSz w:w="11906" w:h="16838"/>
      <w:pgMar w:top="873" w:right="1800" w:bottom="873"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_x0000_s3000" o:spid="_x0000_s300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3"/>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pict>
        <v:shape id="_x0000_s3011" o:spid="_x0000_s301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3"/>
                </w:pPr>
                <w:r>
                  <w:fldChar w:fldCharType="begin"/>
                </w:r>
                <w:r>
                  <w:instrText xml:space="preserve"> PAGE  \* MERGEFORMAT </w:instrText>
                </w:r>
                <w:r>
                  <w:fldChar w:fldCharType="separate"/>
                </w:r>
                <w:r>
                  <w:t>12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560E42"/>
    <w:multiLevelType w:val="multilevel"/>
    <w:tmpl w:val="3F560E42"/>
    <w:lvl w:ilvl="0" w:tentative="0">
      <w:start w:val="1"/>
      <w:numFmt w:val="japaneseCounting"/>
      <w:lvlText w:val="%1、"/>
      <w:lvlJc w:val="left"/>
      <w:pPr>
        <w:ind w:left="1360" w:hanging="720"/>
      </w:pPr>
      <w:rPr>
        <w:rFonts w:hint="eastAsia"/>
        <w:b/>
        <w:bCs/>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5DB412F7"/>
    <w:multiLevelType w:val="singleLevel"/>
    <w:tmpl w:val="5DB412F7"/>
    <w:lvl w:ilvl="0" w:tentative="0">
      <w:start w:val="3"/>
      <w:numFmt w:val="chineseCounting"/>
      <w:suff w:val="space"/>
      <w:lvlText w:val="第%1部分"/>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dit="trackedChanges" w:enforcement="0"/>
  <w:defaultTabStop w:val="420"/>
  <w:drawingGridVerticalSpacing w:val="156"/>
  <w:noPunctuationKerning w:val="1"/>
  <w:characterSpacingControl w:val="compressPunctuation"/>
  <w:hdrShapeDefaults>
    <o:shapelayout v:ext="edit">
      <o:idmap v:ext="edit" data="1,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mViMTY2MzAwNzZjNjc3NDcyZjNiODJhNzZkNmE1YzIifQ=="/>
  </w:docVars>
  <w:rsids>
    <w:rsidRoot w:val="00994704"/>
    <w:rsid w:val="004C20AB"/>
    <w:rsid w:val="008E4264"/>
    <w:rsid w:val="00994704"/>
    <w:rsid w:val="00D5589A"/>
    <w:rsid w:val="7A6C4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Body Text"/>
    <w:basedOn w:val="1"/>
    <w:qFormat/>
    <w:uiPriority w:val="99"/>
    <w:pPr>
      <w:spacing w:beforeLines="30"/>
    </w:pPr>
    <w:rPr>
      <w:rFonts w:ascii="仿宋_GB2312" w:eastAsia="仿宋_GB2312"/>
      <w:kern w:val="0"/>
      <w:sz w:val="30"/>
    </w:rPr>
  </w:style>
  <w:style w:type="paragraph" w:styleId="4">
    <w:name w:val="Balloon Text"/>
    <w:basedOn w:val="1"/>
    <w:uiPriority w:val="0"/>
    <w:rPr>
      <w:sz w:val="18"/>
      <w:szCs w:val="18"/>
    </w:rPr>
  </w:style>
  <w:style w:type="paragraph" w:styleId="5">
    <w:name w:val="footer"/>
    <w:basedOn w:val="1"/>
    <w:link w:val="33"/>
    <w:qFormat/>
    <w:uiPriority w:val="99"/>
    <w:pPr>
      <w:tabs>
        <w:tab w:val="center" w:pos="4153"/>
        <w:tab w:val="right" w:pos="8306"/>
      </w:tabs>
      <w:snapToGrid w:val="0"/>
      <w:jc w:val="left"/>
    </w:pPr>
    <w:rPr>
      <w:sz w:val="18"/>
      <w:szCs w:val="18"/>
    </w:rPr>
  </w:style>
  <w:style w:type="paragraph" w:styleId="6">
    <w:name w:val="header"/>
    <w:basedOn w:val="1"/>
    <w:link w:val="32"/>
    <w:semiHidden/>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ascii="Calibri" w:hAnsi="Calibri"/>
      <w:kern w:val="0"/>
      <w:sz w:val="24"/>
    </w:rPr>
  </w:style>
  <w:style w:type="table" w:styleId="9">
    <w:name w:val="Table Grid"/>
    <w:basedOn w:val="8"/>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1">
    <w:name w:val="Strong"/>
    <w:basedOn w:val="10"/>
    <w:qFormat/>
    <w:uiPriority w:val="99"/>
    <w:rPr>
      <w:rFonts w:cs="Times New Roman"/>
      <w:b/>
    </w:rPr>
  </w:style>
  <w:style w:type="character" w:styleId="12">
    <w:name w:val="annotation reference"/>
    <w:basedOn w:val="10"/>
    <w:uiPriority w:val="0"/>
    <w:rPr>
      <w:sz w:val="21"/>
      <w:szCs w:val="21"/>
    </w:rPr>
  </w:style>
  <w:style w:type="paragraph" w:customStyle="1" w:styleId="13">
    <w:name w:val="Heading 1"/>
    <w:basedOn w:val="1"/>
    <w:next w:val="1"/>
    <w:link w:val="21"/>
    <w:qFormat/>
    <w:uiPriority w:val="9"/>
    <w:pPr>
      <w:keepNext/>
      <w:keepLines/>
      <w:spacing w:before="340" w:after="330" w:line="578" w:lineRule="auto"/>
      <w:outlineLvl w:val="0"/>
    </w:pPr>
    <w:rPr>
      <w:b/>
      <w:bCs/>
      <w:kern w:val="44"/>
      <w:sz w:val="44"/>
      <w:szCs w:val="44"/>
    </w:rPr>
  </w:style>
  <w:style w:type="paragraph" w:customStyle="1" w:styleId="14">
    <w:name w:val="Heading 2"/>
    <w:basedOn w:val="1"/>
    <w:next w:val="1"/>
    <w:link w:val="20"/>
    <w:qFormat/>
    <w:uiPriority w:val="9"/>
    <w:pPr>
      <w:keepNext/>
      <w:keepLines/>
      <w:spacing w:before="260" w:after="260" w:line="416" w:lineRule="auto"/>
      <w:outlineLvl w:val="1"/>
    </w:pPr>
    <w:rPr>
      <w:rFonts w:ascii="Calibri Light" w:hAnsi="Calibri Light"/>
      <w:b/>
      <w:bCs/>
      <w:sz w:val="32"/>
      <w:szCs w:val="32"/>
    </w:rPr>
  </w:style>
  <w:style w:type="character" w:customStyle="1" w:styleId="15">
    <w:name w:val="font61"/>
    <w:basedOn w:val="10"/>
    <w:uiPriority w:val="0"/>
    <w:rPr>
      <w:rFonts w:hint="eastAsia" w:ascii="宋体" w:hAnsi="宋体" w:eastAsia="宋体" w:cs="宋体"/>
      <w:color w:val="000000"/>
      <w:sz w:val="32"/>
      <w:szCs w:val="32"/>
      <w:u w:val="none"/>
    </w:rPr>
  </w:style>
  <w:style w:type="character" w:customStyle="1" w:styleId="16">
    <w:name w:val="Char Char5"/>
    <w:basedOn w:val="10"/>
    <w:link w:val="14"/>
    <w:qFormat/>
    <w:locked/>
    <w:uiPriority w:val="9"/>
    <w:rPr>
      <w:rFonts w:ascii="Cambria" w:hAnsi="Cambria" w:eastAsia="宋体" w:cs="Times New Roman"/>
      <w:b/>
      <w:bCs/>
      <w:kern w:val="2"/>
      <w:sz w:val="32"/>
      <w:szCs w:val="32"/>
    </w:rPr>
  </w:style>
  <w:style w:type="character" w:customStyle="1" w:styleId="17">
    <w:name w:val="font31"/>
    <w:basedOn w:val="10"/>
    <w:uiPriority w:val="0"/>
    <w:rPr>
      <w:rFonts w:hint="eastAsia" w:ascii="宋体" w:hAnsi="宋体" w:eastAsia="宋体" w:cs="宋体"/>
      <w:color w:val="000000"/>
      <w:sz w:val="12"/>
      <w:szCs w:val="12"/>
      <w:u w:val="none"/>
    </w:rPr>
  </w:style>
  <w:style w:type="character" w:customStyle="1" w:styleId="18">
    <w:name w:val="font91"/>
    <w:basedOn w:val="10"/>
    <w:uiPriority w:val="0"/>
    <w:rPr>
      <w:rFonts w:hint="eastAsia" w:ascii="宋体" w:hAnsi="宋体" w:eastAsia="宋体" w:cs="宋体"/>
      <w:color w:val="000000"/>
      <w:sz w:val="18"/>
      <w:szCs w:val="18"/>
      <w:u w:val="none"/>
    </w:rPr>
  </w:style>
  <w:style w:type="character" w:customStyle="1" w:styleId="19">
    <w:name w:val="标题 1 Char"/>
    <w:basedOn w:val="10"/>
    <w:link w:val="13"/>
    <w:qFormat/>
    <w:uiPriority w:val="9"/>
    <w:rPr>
      <w:b/>
      <w:bCs/>
      <w:kern w:val="44"/>
      <w:sz w:val="44"/>
      <w:szCs w:val="44"/>
    </w:rPr>
  </w:style>
  <w:style w:type="character" w:customStyle="1" w:styleId="20">
    <w:name w:val="标题 2 Char"/>
    <w:basedOn w:val="10"/>
    <w:link w:val="14"/>
    <w:qFormat/>
    <w:uiPriority w:val="9"/>
    <w:rPr>
      <w:rFonts w:ascii="Calibri Light" w:hAnsi="Calibri Light" w:eastAsia="宋体" w:cs="Times New Roman"/>
      <w:b/>
      <w:bCs/>
      <w:sz w:val="32"/>
      <w:szCs w:val="32"/>
    </w:rPr>
  </w:style>
  <w:style w:type="character" w:customStyle="1" w:styleId="21">
    <w:name w:val="标题 1 Char1"/>
    <w:basedOn w:val="10"/>
    <w:link w:val="13"/>
    <w:qFormat/>
    <w:locked/>
    <w:uiPriority w:val="9"/>
    <w:rPr>
      <w:rFonts w:ascii="Times New Roman" w:hAnsi="Times New Roman" w:cs="Times New Roman"/>
      <w:b/>
      <w:bCs/>
      <w:kern w:val="44"/>
      <w:sz w:val="44"/>
      <w:szCs w:val="44"/>
    </w:rPr>
  </w:style>
  <w:style w:type="paragraph" w:customStyle="1" w:styleId="22">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20"/>
    </w:rPr>
  </w:style>
  <w:style w:type="paragraph" w:customStyle="1" w:styleId="23">
    <w:name w:val="Footer"/>
    <w:basedOn w:val="1"/>
    <w:qFormat/>
    <w:uiPriority w:val="99"/>
    <w:pPr>
      <w:tabs>
        <w:tab w:val="center" w:pos="4153"/>
        <w:tab w:val="right" w:pos="8306"/>
      </w:tabs>
      <w:snapToGrid w:val="0"/>
      <w:jc w:val="left"/>
    </w:pPr>
    <w:rPr>
      <w:rFonts w:ascii="Calibri" w:hAnsi="Calibri"/>
      <w:kern w:val="0"/>
      <w:sz w:val="18"/>
      <w:szCs w:val="20"/>
    </w:rPr>
  </w:style>
  <w:style w:type="paragraph" w:customStyle="1" w:styleId="24">
    <w:name w:val="TOC 2"/>
    <w:basedOn w:val="1"/>
    <w:next w:val="1"/>
    <w:unhideWhenUsed/>
    <w:qFormat/>
    <w:uiPriority w:val="39"/>
    <w:pPr>
      <w:tabs>
        <w:tab w:val="right" w:leader="dot" w:pos="8296"/>
      </w:tabs>
      <w:ind w:left="420" w:leftChars="200"/>
    </w:pPr>
  </w:style>
  <w:style w:type="paragraph" w:customStyle="1" w:styleId="25">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customStyle="1" w:styleId="26">
    <w:name w:val="Default"/>
    <w:qFormat/>
    <w:uiPriority w:val="99"/>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0">
    <w:name w:val="批注文字 Char"/>
    <w:basedOn w:val="10"/>
    <w:uiPriority w:val="0"/>
    <w:rPr>
      <w:kern w:val="2"/>
      <w:sz w:val="21"/>
      <w:szCs w:val="24"/>
    </w:rPr>
  </w:style>
  <w:style w:type="character" w:customStyle="1" w:styleId="31">
    <w:name w:val="批注框文本 Char"/>
    <w:basedOn w:val="10"/>
    <w:uiPriority w:val="0"/>
    <w:rPr>
      <w:kern w:val="2"/>
      <w:sz w:val="18"/>
      <w:szCs w:val="18"/>
    </w:rPr>
  </w:style>
  <w:style w:type="character" w:customStyle="1" w:styleId="32">
    <w:name w:val="页眉 Char"/>
    <w:basedOn w:val="10"/>
    <w:link w:val="6"/>
    <w:semiHidden/>
    <w:uiPriority w:val="99"/>
    <w:rPr>
      <w:kern w:val="2"/>
      <w:sz w:val="18"/>
      <w:szCs w:val="18"/>
    </w:rPr>
  </w:style>
  <w:style w:type="character" w:customStyle="1" w:styleId="33">
    <w:name w:val="页脚 Char"/>
    <w:basedOn w:val="10"/>
    <w:link w:val="5"/>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oleObject" Target="embeddings/Workbook2.xls"/><Relationship Id="rId7" Type="http://schemas.openxmlformats.org/officeDocument/2006/relationships/image" Target="media/image1.png"/><Relationship Id="rId6" Type="http://schemas.openxmlformats.org/officeDocument/2006/relationships/oleObject" Target="embeddings/Workbook1.xls"/><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1.xml"/><Relationship Id="rId25" Type="http://schemas.openxmlformats.org/officeDocument/2006/relationships/customXml" Target="../customXml/item10.xml"/><Relationship Id="rId24" Type="http://schemas.openxmlformats.org/officeDocument/2006/relationships/customXml" Target="../customXml/item9.xml"/><Relationship Id="rId23" Type="http://schemas.openxmlformats.org/officeDocument/2006/relationships/customXml" Target="../customXml/item8.xml"/><Relationship Id="rId22" Type="http://schemas.openxmlformats.org/officeDocument/2006/relationships/customXml" Target="../customXml/item7.xml"/><Relationship Id="rId21" Type="http://schemas.openxmlformats.org/officeDocument/2006/relationships/customXml" Target="../customXml/item6.xml"/><Relationship Id="rId20" Type="http://schemas.openxmlformats.org/officeDocument/2006/relationships/customXml" Target="../customXml/item5.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oleObject" Target="embeddings/Workbook5.xls"/><Relationship Id="rId12" Type="http://schemas.openxmlformats.org/officeDocument/2006/relationships/oleObject" Target="embeddings/Workbook4.xls"/><Relationship Id="rId11" Type="http://schemas.openxmlformats.org/officeDocument/2006/relationships/image" Target="media/image3.png"/><Relationship Id="rId10" Type="http://schemas.openxmlformats.org/officeDocument/2006/relationships/oleObject" Target="embeddings/Workbook3.xls"/><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00"/>
    <customShpInfo spid="_x0000_s3011"/>
  </customShpExts>
</s:customDat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Properties xmlns:vt="http://schemas.openxmlformats.org/officeDocument/2006/docPropsVTypes" xmlns="http://schemas.openxmlformats.org/officeDocument/2006/extended-properties">
  <Template>Normal.dotm</Template>
  <TotalTime>157261920</TotalTime>
  <Pages>15</Pages>
  <Words>5037</Words>
  <Characters>7409</Characters>
  <Application>WPS Office_11.1.0.9208_F1E327BC-269C-435d-A152-05C5408002CA</Application>
  <DocSecurity>0</DocSecurity>
  <Lines>45</Lines>
  <Paragraphs>12</Paragraphs>
  <CharactersWithSpaces>7475</CharactersWithSpaces>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creator>zr</dc:creator>
  <cp:lastModifiedBy>asd</cp:lastModifiedBy>
  <cp:revision>2</cp:revision>
  <dcterms:created xsi:type="dcterms:W3CDTF">2022-09-07T03:52:00Z</dcterms:created>
  <dcterms:modified xsi:type="dcterms:W3CDTF">2022-11-04T02:26:37Z</dcterms:modified>
</cp:core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creator>zr</dc:creator>
  <cp:lastModifiedBy>User</cp:lastModifiedBy>
  <cp:revision>6</cp:revision>
  <dcterms:created xsi:type="dcterms:W3CDTF">2022-09-07T03:52:00Z</dcterms:created>
  <dcterms:modified xsi:type="dcterms:W3CDTF">2023-02-23T09:02:00Z</dcterms:modified>
</cp:coreProperties>
</file>

<file path=customXml/item4.xml><?xml version="1.0" encoding="utf-8"?>
<Properties xmlns="http://schemas.openxmlformats.org/officeDocument/2006/extended-properties" xmlns:vt="http://schemas.openxmlformats.org/officeDocument/2006/docPropsVTypes">
  <Template>Normal</Template>
  <TotalTime>157261926</TotalTime>
  <Pages>16</Pages>
  <Words>1220</Words>
  <Characters>6956</Characters>
  <Application>Microsoft Office Word</Application>
  <DocSecurity>0</DocSecurity>
  <Lines>57</Lines>
  <Paragraphs>16</Paragraphs>
  <ScaleCrop>false</ScaleCrop>
  <Company>China</Company>
  <LinksUpToDate>false</LinksUpToDate>
  <CharactersWithSpaces>8160</CharactersWithSpaces>
  <SharedDoc>false</SharedDoc>
  <HyperlinksChanged>false</HyperlinksChanged>
  <AppVersion>12.0000</AppVersion>
</Properties>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7E78E873D5BE46B588A876EC576099CB</vt:lpwstr>
  </property>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dc:creator>zr</dc:creator>
  <cp:lastModifiedBy>User</cp:lastModifiedBy>
  <cp:revision>6</cp:revision>
  <dcterms:created xsi:type="dcterms:W3CDTF">2022-09-07T03:52:00Z</dcterms:created>
  <dcterms:modified xsi:type="dcterms:W3CDTF">2023-02-23T09:02:00Z</dcterms:modified>
</cp:coreProperties>
</file>

<file path=customXml/item7.xml><?xml version="1.0" encoding="utf-8"?>
<Properties xmlns:vt="http://schemas.openxmlformats.org/officeDocument/2006/docPropsVTypes" xmlns="http://schemas.openxmlformats.org/officeDocument/2006/extended-properties">
  <Template>Normal</Template>
  <TotalTime>157261926</TotalTime>
  <Pages>16</Pages>
  <Words>1220</Words>
  <Characters>6956</Characters>
  <Application>Microsoft Office Word</Application>
  <DocSecurity>0</DocSecurity>
  <Lines>57</Lines>
  <Paragraphs>16</Paragraphs>
  <Company>China</Company>
  <CharactersWithSpaces>8160</CharactersWithSpaces>
  <AppVersion>12.0000</AppVersion>
</Properties>
</file>

<file path=customXml/item8.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7E78E873D5BE46B588A876EC576099CB</vt:lpstr>
  </property>
</Properties>
</file>

<file path=customXml/item9.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7E78E873D5BE46B588A876EC576099CB</vt:lpstr>
  </property>
</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2A9F4C8E-BD3F-4C68-A9EC-FC8FEBA297CB}">
  <ds:schemaRefs/>
</ds:datastoreItem>
</file>

<file path=customXml/itemProps11.xml><?xml version="1.0" encoding="utf-8"?>
<ds:datastoreItem xmlns:ds="http://schemas.openxmlformats.org/officeDocument/2006/customXml" ds:itemID="{A2A5146B-1609-4818-93B0-0329E344ABD7}">
  <ds:schemaRefs/>
</ds:datastoreItem>
</file>

<file path=customXml/itemProps2.xml><?xml version="1.0" encoding="utf-8"?>
<ds:datastoreItem xmlns:ds="http://schemas.openxmlformats.org/officeDocument/2006/customXml" ds:itemID="{FA816553-557B-4C57-B9C0-FABD22F79930}">
  <ds:schemaRefs/>
</ds:datastoreItem>
</file>

<file path=customXml/itemProps3.xml><?xml version="1.0" encoding="utf-8"?>
<ds:datastoreItem xmlns:ds="http://schemas.openxmlformats.org/officeDocument/2006/customXml" ds:itemID="{4168F2C9-8877-4445-BF94-A3362081E7BE}">
  <ds:schemaRefs/>
</ds:datastoreItem>
</file>

<file path=customXml/itemProps4.xml><?xml version="1.0" encoding="utf-8"?>
<ds:datastoreItem xmlns:ds="http://schemas.openxmlformats.org/officeDocument/2006/customXml" ds:itemID="{C479F1AD-8735-4C98-919B-03B8F9550AD9}">
  <ds:schemaRefs/>
</ds:datastoreItem>
</file>

<file path=customXml/itemProps5.xml><?xml version="1.0" encoding="utf-8"?>
<ds:datastoreItem xmlns:ds="http://schemas.openxmlformats.org/officeDocument/2006/customXml" ds:itemID="{6B0A770A-8AE4-4575-87B5-D2D96BB93F58}">
  <ds:schemaRefs/>
</ds:datastoreItem>
</file>

<file path=customXml/itemProps6.xml><?xml version="1.0" encoding="utf-8"?>
<ds:datastoreItem xmlns:ds="http://schemas.openxmlformats.org/officeDocument/2006/customXml" ds:itemID="{DFE1FA86-355D-4433-88C3-B190CA6866E2}">
  <ds:schemaRefs/>
</ds:datastoreItem>
</file>

<file path=customXml/itemProps7.xml><?xml version="1.0" encoding="utf-8"?>
<ds:datastoreItem xmlns:ds="http://schemas.openxmlformats.org/officeDocument/2006/customXml" ds:itemID="{7C43EB94-0A4C-47B4-8D62-0CD273DAF798}">
  <ds:schemaRefs/>
</ds:datastoreItem>
</file>

<file path=customXml/itemProps8.xml><?xml version="1.0" encoding="utf-8"?>
<ds:datastoreItem xmlns:ds="http://schemas.openxmlformats.org/officeDocument/2006/customXml" ds:itemID="{9C37D1D7-99CE-4932-A73F-BFE4D4840DF1}">
  <ds:schemaRefs/>
</ds:datastoreItem>
</file>

<file path=customXml/itemProps9.xml><?xml version="1.0" encoding="utf-8"?>
<ds:datastoreItem xmlns:ds="http://schemas.openxmlformats.org/officeDocument/2006/customXml" ds:itemID="{B07F26D3-0ED2-4AA8-AD83-2A61C8C684C6}">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5270</Words>
  <Characters>5819</Characters>
  <Lines>57</Lines>
  <Paragraphs>16</Paragraphs>
  <TotalTime>157261928</TotalTime>
  <ScaleCrop>false</ScaleCrop>
  <LinksUpToDate>false</LinksUpToDate>
  <CharactersWithSpaces>5859</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2022-09-07T03:52:00Z</dcterms:created>
  <dc:creator>zr</dc:creator>
  <cp:lastModifiedBy>狂奔的蜗牛</cp:lastModifiedBy>
  <dcterms:modified xsi:type="dcterms:W3CDTF">2023-06-26T12:52:52Z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7E78E873D5BE46B588A876EC576099CB</vt:lpwstr>
  </property>
</Properties>
</file>