
<file path=[Content_Types].xml><?xml version="1.0" encoding="utf-8"?>
<Types xmlns="http://schemas.openxmlformats.org/package/2006/content-types">
  <Default Extension="xml" ContentType="application/xml"/>
  <Default Extension="xls" ContentType="application/vnd.ms-exce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32333"/>
      <w:bookmarkStart w:id="3" w:name="_Toc15396597"/>
      <w:bookmarkStart w:id="4" w:name="_Toc15377425"/>
      <w:bookmarkStart w:id="5" w:name="_Toc15396475"/>
      <w:bookmarkStart w:id="6" w:name="_Toc15377193"/>
      <w:r>
        <w:rPr>
          <w:rFonts w:hint="eastAsia" w:ascii="方正小标宋简体" w:hAnsi="宋体" w:eastAsia="方正小标宋简体"/>
          <w:color w:val="000000"/>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pacing w:val="-68"/>
          <w:sz w:val="72"/>
          <w:szCs w:val="72"/>
        </w:rPr>
      </w:pPr>
      <w:bookmarkStart w:id="7" w:name="_Toc15396598"/>
      <w:bookmarkStart w:id="8" w:name="_Toc15306268"/>
      <w:bookmarkStart w:id="9" w:name="_Toc15377194"/>
      <w:bookmarkStart w:id="10" w:name="_Toc15396476"/>
      <w:bookmarkStart w:id="11" w:name="_Toc15378442"/>
      <w:bookmarkStart w:id="12" w:name="_Toc15377426"/>
      <w:bookmarkStart w:id="13" w:name="_Toc14414"/>
      <w:r>
        <w:rPr>
          <w:rFonts w:hint="eastAsia" w:ascii="方正小标宋简体" w:hAnsi="宋体" w:eastAsia="方正小标宋简体"/>
          <w:color w:val="000000"/>
          <w:spacing w:val="-68"/>
          <w:sz w:val="72"/>
          <w:szCs w:val="72"/>
        </w:rPr>
        <w:t>通江县铁溪镇什字小学单位决算</w:t>
      </w:r>
      <w:bookmarkEnd w:id="7"/>
      <w:bookmarkEnd w:id="8"/>
      <w:bookmarkEnd w:id="9"/>
      <w:bookmarkEnd w:id="10"/>
      <w:bookmarkEnd w:id="11"/>
      <w:bookmarkEnd w:id="12"/>
      <w:bookmarkEnd w:id="13"/>
    </w:p>
    <w:p>
      <w:pPr>
        <w:adjustRightInd w:val="0"/>
        <w:snapToGrid w:val="0"/>
        <w:spacing w:line="360" w:lineRule="auto"/>
        <w:jc w:val="center"/>
        <w:outlineLvl w:val="0"/>
        <w:rPr>
          <w:rFonts w:ascii="方正小标宋简体" w:hAnsi="宋体" w:eastAsia="方正小标宋简体"/>
          <w:color w:val="000000"/>
          <w:sz w:val="72"/>
          <w:szCs w:val="72"/>
        </w:rPr>
      </w:pPr>
      <w:bookmarkStart w:id="14" w:name="_Toc32705"/>
      <w:r>
        <w:rPr>
          <w:rFonts w:hint="eastAsia" w:ascii="方正小标宋简体" w:hAnsi="宋体" w:eastAsia="方正小标宋简体"/>
          <w:color w:val="000000"/>
          <w:sz w:val="72"/>
          <w:szCs w:val="72"/>
        </w:rPr>
        <w:t>编制说明</w:t>
      </w:r>
      <w:bookmarkEnd w:id="14"/>
    </w:p>
    <w:p>
      <w:pPr>
        <w:adjustRightInd w:val="0"/>
        <w:snapToGrid w:val="0"/>
        <w:spacing w:line="360" w:lineRule="auto"/>
        <w:jc w:val="center"/>
        <w:rPr>
          <w:rFonts w:ascii="方正小标宋简体" w:hAnsi="宋体" w:eastAsia="方正小标宋简体"/>
          <w:color w:val="000000"/>
          <w:sz w:val="52"/>
          <w:szCs w:val="52"/>
        </w:rPr>
      </w:pPr>
    </w:p>
    <w:p>
      <w:pPr>
        <w:pStyle w:val="26"/>
      </w:pPr>
    </w:p>
    <w:p>
      <w:pPr>
        <w:pStyle w:val="26"/>
      </w:pPr>
    </w:p>
    <w:p>
      <w:pPr>
        <w:pStyle w:val="26"/>
      </w:pPr>
    </w:p>
    <w:p>
      <w:pPr>
        <w:pStyle w:val="26"/>
      </w:pPr>
    </w:p>
    <w:p>
      <w:pPr>
        <w:pStyle w:val="26"/>
      </w:pP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26"/>
      </w:pPr>
      <w:r>
        <w:rPr>
          <w:rFonts w:hint="eastAsia"/>
        </w:rPr>
        <w:t>公开时间：</w:t>
      </w:r>
      <w:r>
        <w:t>202</w:t>
      </w:r>
      <w:r>
        <w:rPr>
          <w:rFonts w:hint="eastAsia"/>
        </w:rPr>
        <w:t>2年8月25日</w:t>
      </w:r>
    </w:p>
    <w:p>
      <w:pPr>
        <w:widowControl/>
        <w:jc w:val="center"/>
        <w:rPr>
          <w:rFonts w:ascii="黑体" w:hAnsi="黑体" w:eastAsia="黑体"/>
          <w:color w:val="000000"/>
          <w:sz w:val="30"/>
          <w:szCs w:val="30"/>
        </w:rPr>
      </w:pPr>
    </w:p>
    <w:p>
      <w:pPr>
        <w:pStyle w:val="31"/>
        <w:tabs>
          <w:tab w:val="right" w:leader="dot" w:pos="8306"/>
        </w:tabs>
        <w:rPr>
          <w:b/>
        </w:rPr>
      </w:pPr>
      <w:r>
        <w:rPr>
          <w:rFonts w:hint="eastAsia"/>
        </w:rPr>
        <w:fldChar w:fldCharType="begin"/>
      </w:r>
      <w:r>
        <w:instrText xml:space="preserve">TOC \o "1-2" \h \u</w:instrText>
      </w:r>
      <w:r>
        <w:rPr>
          <w:rFonts w:hint="eastAsia" w:ascii="宋体" w:hAnsi="宋体" w:cs="宋体"/>
          <w:color w:val="000000"/>
          <w:sz w:val="24"/>
          <w:szCs w:val="24"/>
        </w:rPr>
        <w:fldChar w:fldCharType="separate"/>
      </w:r>
      <w:r>
        <w:fldChar w:fldCharType="begin"/>
      </w:r>
      <w:r>
        <w:instrText xml:space="preserve"> HYPERLINK \l "_Toc9783" </w:instrText>
      </w:r>
      <w:r>
        <w:fldChar w:fldCharType="separate"/>
      </w:r>
      <w:r>
        <w:rPr>
          <w:rFonts w:hint="eastAsia" w:ascii="黑体" w:hAnsi="黑体" w:eastAsia="黑体"/>
          <w:b/>
          <w:bCs/>
        </w:rPr>
        <w:t>第一部分</w:t>
      </w:r>
      <w:r>
        <w:rPr>
          <w:rFonts w:hint="eastAsia" w:ascii="黑体" w:hAnsi="黑体" w:eastAsia="黑体"/>
          <w:b/>
        </w:rPr>
        <w:t>部门概况</w:t>
      </w:r>
      <w:r>
        <w:rPr>
          <w:b/>
        </w:rPr>
        <w:tab/>
      </w:r>
      <w:r>
        <w:rPr>
          <w:b/>
        </w:rPr>
        <w:fldChar w:fldCharType="begin"/>
      </w:r>
      <w:r>
        <w:rPr>
          <w:b/>
        </w:rPr>
        <w:instrText xml:space="preserve"> PAGEREF _Toc9783 </w:instrText>
      </w:r>
      <w:r>
        <w:rPr>
          <w:b/>
        </w:rPr>
        <w:fldChar w:fldCharType="separate"/>
      </w:r>
      <w:r>
        <w:rPr>
          <w:b/>
        </w:rPr>
        <w:t>3</w:t>
      </w:r>
      <w:r>
        <w:rPr>
          <w:b/>
        </w:rPr>
        <w:fldChar w:fldCharType="end"/>
      </w:r>
      <w:r>
        <w:rPr>
          <w:b/>
        </w:rPr>
        <w:fldChar w:fldCharType="end"/>
      </w:r>
    </w:p>
    <w:p>
      <w:pPr>
        <w:pStyle w:val="30"/>
        <w:tabs>
          <w:tab w:val="right" w:leader="dot" w:pos="8306"/>
        </w:tabs>
        <w:ind w:left="420"/>
      </w:pPr>
      <w:r>
        <w:fldChar w:fldCharType="begin"/>
      </w:r>
      <w:r>
        <w:instrText xml:space="preserve"> HYPERLINK \l "_Toc25813" </w:instrText>
      </w:r>
      <w:r>
        <w:fldChar w:fldCharType="separate"/>
      </w:r>
      <w:r>
        <w:rPr>
          <w:rFonts w:hint="eastAsia" w:ascii="黑体" w:hAnsi="黑体" w:eastAsia="黑体"/>
        </w:rPr>
        <w:t>一、基本职能及主要工作</w:t>
      </w:r>
      <w:r>
        <w:tab/>
      </w:r>
      <w:r>
        <w:fldChar w:fldCharType="begin"/>
      </w:r>
      <w:r>
        <w:instrText xml:space="preserve"> PAGEREF _Toc25813 </w:instrText>
      </w:r>
      <w:r>
        <w:fldChar w:fldCharType="separate"/>
      </w:r>
      <w:r>
        <w:t>3</w:t>
      </w:r>
      <w:r>
        <w:fldChar w:fldCharType="end"/>
      </w:r>
      <w:r>
        <w:fldChar w:fldCharType="end"/>
      </w:r>
    </w:p>
    <w:p>
      <w:pPr>
        <w:pStyle w:val="30"/>
        <w:tabs>
          <w:tab w:val="right" w:leader="dot" w:pos="8306"/>
        </w:tabs>
        <w:ind w:left="420"/>
      </w:pPr>
      <w:r>
        <w:fldChar w:fldCharType="begin"/>
      </w:r>
      <w:r>
        <w:instrText xml:space="preserve"> HYPERLINK \l "_Toc22951" </w:instrText>
      </w:r>
      <w:r>
        <w:fldChar w:fldCharType="separate"/>
      </w:r>
      <w:r>
        <w:rPr>
          <w:rFonts w:hint="eastAsia" w:ascii="黑体" w:hAnsi="黑体" w:eastAsia="黑体"/>
          <w:bCs/>
        </w:rPr>
        <w:t>二、机</w:t>
      </w:r>
      <w:r>
        <w:rPr>
          <w:rFonts w:hint="eastAsia" w:ascii="黑体" w:hAnsi="黑体" w:eastAsia="黑体"/>
        </w:rPr>
        <w:t>构设置</w:t>
      </w:r>
      <w:r>
        <w:tab/>
      </w:r>
      <w:r>
        <w:fldChar w:fldCharType="begin"/>
      </w:r>
      <w:r>
        <w:instrText xml:space="preserve"> PAGEREF _Toc22951 </w:instrText>
      </w:r>
      <w:r>
        <w:fldChar w:fldCharType="separate"/>
      </w:r>
      <w:r>
        <w:t>4</w:t>
      </w:r>
      <w:r>
        <w:fldChar w:fldCharType="end"/>
      </w:r>
      <w:r>
        <w:fldChar w:fldCharType="end"/>
      </w:r>
    </w:p>
    <w:p>
      <w:pPr>
        <w:pStyle w:val="31"/>
        <w:tabs>
          <w:tab w:val="right" w:leader="dot" w:pos="8306"/>
        </w:tabs>
        <w:rPr>
          <w:b/>
        </w:rPr>
      </w:pPr>
      <w:r>
        <w:fldChar w:fldCharType="begin"/>
      </w:r>
      <w:r>
        <w:instrText xml:space="preserve"> HYPERLINK \l "_Toc21793" </w:instrText>
      </w:r>
      <w:r>
        <w:fldChar w:fldCharType="separate"/>
      </w:r>
      <w:r>
        <w:rPr>
          <w:rFonts w:hint="eastAsia" w:ascii="黑体" w:hAnsi="黑体" w:eastAsia="黑体"/>
          <w:b/>
          <w:bCs/>
        </w:rPr>
        <w:t>第二部分</w:t>
      </w:r>
      <w:r>
        <w:rPr>
          <w:rFonts w:ascii="黑体" w:hAnsi="黑体" w:eastAsia="黑体"/>
          <w:b/>
          <w:bCs/>
        </w:rPr>
        <w:t xml:space="preserve"> 202</w:t>
      </w:r>
      <w:r>
        <w:rPr>
          <w:rFonts w:hint="eastAsia" w:ascii="黑体" w:hAnsi="黑体" w:eastAsia="黑体"/>
          <w:b/>
          <w:bCs/>
        </w:rPr>
        <w:t>1年度部门决算情况说明</w:t>
      </w:r>
      <w:r>
        <w:rPr>
          <w:b/>
        </w:rPr>
        <w:tab/>
      </w:r>
      <w:r>
        <w:rPr>
          <w:b/>
        </w:rPr>
        <w:fldChar w:fldCharType="begin"/>
      </w:r>
      <w:r>
        <w:rPr>
          <w:b/>
        </w:rPr>
        <w:instrText xml:space="preserve"> PAGEREF _Toc21793 </w:instrText>
      </w:r>
      <w:r>
        <w:rPr>
          <w:b/>
        </w:rPr>
        <w:fldChar w:fldCharType="separate"/>
      </w:r>
      <w:r>
        <w:rPr>
          <w:b/>
        </w:rPr>
        <w:t>4</w:t>
      </w:r>
      <w:r>
        <w:rPr>
          <w:b/>
        </w:rPr>
        <w:fldChar w:fldCharType="end"/>
      </w:r>
      <w:r>
        <w:rPr>
          <w:b/>
        </w:rPr>
        <w:fldChar w:fldCharType="end"/>
      </w:r>
    </w:p>
    <w:p>
      <w:pPr>
        <w:pStyle w:val="30"/>
        <w:tabs>
          <w:tab w:val="right" w:leader="dot" w:pos="8306"/>
        </w:tabs>
        <w:ind w:left="420"/>
      </w:pPr>
      <w:r>
        <w:fldChar w:fldCharType="begin"/>
      </w:r>
      <w:r>
        <w:instrText xml:space="preserve"> HYPERLINK \l "_Toc20751"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_Toc20751 </w:instrText>
      </w:r>
      <w:r>
        <w:fldChar w:fldCharType="separate"/>
      </w:r>
      <w:r>
        <w:t>4</w:t>
      </w:r>
      <w:r>
        <w:fldChar w:fldCharType="end"/>
      </w:r>
      <w:r>
        <w:fldChar w:fldCharType="end"/>
      </w:r>
    </w:p>
    <w:p>
      <w:pPr>
        <w:pStyle w:val="30"/>
        <w:tabs>
          <w:tab w:val="right" w:leader="dot" w:pos="8306"/>
        </w:tabs>
        <w:ind w:left="420"/>
      </w:pPr>
      <w:r>
        <w:fldChar w:fldCharType="begin"/>
      </w:r>
      <w:r>
        <w:instrText xml:space="preserve"> HYPERLINK \l "_Toc23971"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_Toc23971 </w:instrText>
      </w:r>
      <w:r>
        <w:fldChar w:fldCharType="separate"/>
      </w:r>
      <w:r>
        <w:t>4</w:t>
      </w:r>
      <w:r>
        <w:fldChar w:fldCharType="end"/>
      </w:r>
      <w:r>
        <w:fldChar w:fldCharType="end"/>
      </w:r>
    </w:p>
    <w:p>
      <w:pPr>
        <w:pStyle w:val="30"/>
        <w:tabs>
          <w:tab w:val="right" w:leader="dot" w:pos="8306"/>
        </w:tabs>
        <w:ind w:left="420"/>
      </w:pPr>
      <w:r>
        <w:fldChar w:fldCharType="begin"/>
      </w:r>
      <w:r>
        <w:instrText xml:space="preserve"> HYPERLINK \l "_Toc251"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_Toc251 </w:instrText>
      </w:r>
      <w:r>
        <w:fldChar w:fldCharType="separate"/>
      </w:r>
      <w:r>
        <w:t>5</w:t>
      </w:r>
      <w:r>
        <w:fldChar w:fldCharType="end"/>
      </w:r>
      <w:r>
        <w:fldChar w:fldCharType="end"/>
      </w:r>
    </w:p>
    <w:p>
      <w:pPr>
        <w:pStyle w:val="30"/>
        <w:tabs>
          <w:tab w:val="right" w:leader="dot" w:pos="8306"/>
        </w:tabs>
        <w:ind w:left="420"/>
      </w:pPr>
      <w:r>
        <w:fldChar w:fldCharType="begin"/>
      </w:r>
      <w:r>
        <w:instrText xml:space="preserve"> HYPERLINK \l "_Toc29376"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_Toc29376 </w:instrText>
      </w:r>
      <w:r>
        <w:fldChar w:fldCharType="separate"/>
      </w:r>
      <w:r>
        <w:t>5</w:t>
      </w:r>
      <w:r>
        <w:fldChar w:fldCharType="end"/>
      </w:r>
      <w:r>
        <w:fldChar w:fldCharType="end"/>
      </w:r>
    </w:p>
    <w:p>
      <w:pPr>
        <w:pStyle w:val="30"/>
        <w:tabs>
          <w:tab w:val="right" w:leader="dot" w:pos="8306"/>
        </w:tabs>
        <w:ind w:left="420"/>
      </w:pPr>
      <w:r>
        <w:fldChar w:fldCharType="begin"/>
      </w:r>
      <w:r>
        <w:instrText xml:space="preserve"> HYPERLINK \l "_Toc30038"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_Toc30038 </w:instrText>
      </w:r>
      <w:r>
        <w:fldChar w:fldCharType="separate"/>
      </w:r>
      <w:r>
        <w:t>6</w:t>
      </w:r>
      <w:r>
        <w:fldChar w:fldCharType="end"/>
      </w:r>
      <w:r>
        <w:fldChar w:fldCharType="end"/>
      </w:r>
    </w:p>
    <w:p>
      <w:pPr>
        <w:pStyle w:val="30"/>
        <w:tabs>
          <w:tab w:val="right" w:leader="dot" w:pos="8306"/>
        </w:tabs>
        <w:ind w:left="420"/>
      </w:pPr>
      <w:r>
        <w:fldChar w:fldCharType="begin"/>
      </w:r>
      <w:r>
        <w:instrText xml:space="preserve"> HYPERLINK \l "_Toc7745"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_Toc7745 </w:instrText>
      </w:r>
      <w:r>
        <w:fldChar w:fldCharType="separate"/>
      </w:r>
      <w:r>
        <w:t>8</w:t>
      </w:r>
      <w:r>
        <w:fldChar w:fldCharType="end"/>
      </w:r>
      <w:r>
        <w:fldChar w:fldCharType="end"/>
      </w:r>
    </w:p>
    <w:p>
      <w:pPr>
        <w:pStyle w:val="30"/>
        <w:tabs>
          <w:tab w:val="right" w:leader="dot" w:pos="8306"/>
        </w:tabs>
        <w:ind w:left="420"/>
      </w:pPr>
      <w:r>
        <w:fldChar w:fldCharType="begin"/>
      </w:r>
      <w:r>
        <w:instrText xml:space="preserve"> HYPERLINK \l "_Toc23465"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_Toc23465 </w:instrText>
      </w:r>
      <w:r>
        <w:fldChar w:fldCharType="separate"/>
      </w:r>
      <w:r>
        <w:t>8</w:t>
      </w:r>
      <w:r>
        <w:fldChar w:fldCharType="end"/>
      </w:r>
      <w:r>
        <w:fldChar w:fldCharType="end"/>
      </w:r>
    </w:p>
    <w:p>
      <w:pPr>
        <w:pStyle w:val="30"/>
        <w:tabs>
          <w:tab w:val="right" w:leader="dot" w:pos="8306"/>
        </w:tabs>
        <w:ind w:left="420"/>
      </w:pPr>
      <w:r>
        <w:fldChar w:fldCharType="begin"/>
      </w:r>
      <w:r>
        <w:instrText xml:space="preserve"> HYPERLINK \l "_Toc23654"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_Toc23654 </w:instrText>
      </w:r>
      <w:r>
        <w:fldChar w:fldCharType="separate"/>
      </w:r>
      <w:r>
        <w:t>10</w:t>
      </w:r>
      <w:r>
        <w:fldChar w:fldCharType="end"/>
      </w:r>
      <w:r>
        <w:fldChar w:fldCharType="end"/>
      </w:r>
    </w:p>
    <w:p>
      <w:pPr>
        <w:pStyle w:val="30"/>
        <w:tabs>
          <w:tab w:val="right" w:leader="dot" w:pos="8306"/>
        </w:tabs>
        <w:ind w:left="420"/>
      </w:pPr>
      <w:r>
        <w:fldChar w:fldCharType="begin"/>
      </w:r>
      <w:r>
        <w:instrText xml:space="preserve"> HYPERLINK \l "_Toc19205" </w:instrText>
      </w:r>
      <w:r>
        <w:fldChar w:fldCharType="separate"/>
      </w:r>
      <w:r>
        <w:rPr>
          <w:rFonts w:hint="eastAsia" w:ascii="黑体" w:hAnsi="黑体" w:eastAsia="黑体"/>
        </w:rPr>
        <w:t>九、国有资本经营预算支出决算情况说明</w:t>
      </w:r>
      <w:r>
        <w:tab/>
      </w:r>
      <w:r>
        <w:fldChar w:fldCharType="begin"/>
      </w:r>
      <w:r>
        <w:instrText xml:space="preserve"> PAGEREF _Toc19205 </w:instrText>
      </w:r>
      <w:r>
        <w:fldChar w:fldCharType="separate"/>
      </w:r>
      <w:r>
        <w:t>10</w:t>
      </w:r>
      <w:r>
        <w:fldChar w:fldCharType="end"/>
      </w:r>
      <w:r>
        <w:fldChar w:fldCharType="end"/>
      </w:r>
    </w:p>
    <w:p>
      <w:pPr>
        <w:pStyle w:val="30"/>
        <w:tabs>
          <w:tab w:val="right" w:leader="dot" w:pos="8306"/>
        </w:tabs>
        <w:ind w:left="420"/>
      </w:pPr>
      <w:r>
        <w:fldChar w:fldCharType="begin"/>
      </w:r>
      <w:r>
        <w:instrText xml:space="preserve"> HYPERLINK \l "_Toc6547"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_Toc6547 </w:instrText>
      </w:r>
      <w:r>
        <w:fldChar w:fldCharType="separate"/>
      </w:r>
      <w:r>
        <w:t>10</w:t>
      </w:r>
      <w:r>
        <w:fldChar w:fldCharType="end"/>
      </w:r>
      <w:r>
        <w:fldChar w:fldCharType="end"/>
      </w:r>
    </w:p>
    <w:p>
      <w:pPr>
        <w:pStyle w:val="31"/>
        <w:tabs>
          <w:tab w:val="right" w:leader="dot" w:pos="8306"/>
        </w:tabs>
        <w:rPr>
          <w:b/>
        </w:rPr>
      </w:pPr>
      <w:r>
        <w:fldChar w:fldCharType="begin"/>
      </w:r>
      <w:r>
        <w:instrText xml:space="preserve"> HYPERLINK \l "_Toc22485" </w:instrText>
      </w:r>
      <w:r>
        <w:fldChar w:fldCharType="separate"/>
      </w:r>
      <w:r>
        <w:rPr>
          <w:rFonts w:hint="eastAsia" w:ascii="宋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_Toc22485 </w:instrText>
      </w:r>
      <w:r>
        <w:rPr>
          <w:b/>
        </w:rPr>
        <w:fldChar w:fldCharType="separate"/>
      </w:r>
      <w:r>
        <w:rPr>
          <w:b/>
        </w:rPr>
        <w:t>20</w:t>
      </w:r>
      <w:r>
        <w:rPr>
          <w:b/>
        </w:rPr>
        <w:fldChar w:fldCharType="end"/>
      </w:r>
      <w:r>
        <w:rPr>
          <w:b/>
        </w:rPr>
        <w:fldChar w:fldCharType="end"/>
      </w:r>
    </w:p>
    <w:p>
      <w:pPr>
        <w:pStyle w:val="31"/>
        <w:tabs>
          <w:tab w:val="right" w:leader="dot" w:pos="8306"/>
        </w:tabs>
        <w:rPr>
          <w:b/>
        </w:rPr>
      </w:pPr>
      <w:r>
        <w:fldChar w:fldCharType="begin"/>
      </w:r>
      <w:r>
        <w:instrText xml:space="preserve"> HYPERLINK \l "_Toc29631"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_Toc29631 </w:instrText>
      </w:r>
      <w:r>
        <w:rPr>
          <w:b/>
        </w:rPr>
        <w:fldChar w:fldCharType="separate"/>
      </w:r>
      <w:r>
        <w:rPr>
          <w:b/>
        </w:rPr>
        <w:t>23</w:t>
      </w:r>
      <w:r>
        <w:rPr>
          <w:b/>
        </w:rPr>
        <w:fldChar w:fldCharType="end"/>
      </w:r>
      <w:r>
        <w:rPr>
          <w:b/>
        </w:rPr>
        <w:fldChar w:fldCharType="end"/>
      </w:r>
    </w:p>
    <w:p>
      <w:pPr>
        <w:pStyle w:val="31"/>
        <w:tabs>
          <w:tab w:val="right" w:leader="dot" w:pos="8306"/>
        </w:tabs>
        <w:rPr>
          <w:b/>
        </w:rPr>
      </w:pPr>
      <w:r>
        <w:fldChar w:fldCharType="begin"/>
      </w:r>
      <w:r>
        <w:instrText xml:space="preserve"> HYPERLINK \l "_Toc24222" </w:instrText>
      </w:r>
      <w:r>
        <w:fldChar w:fldCharType="separate"/>
      </w:r>
      <w:r>
        <w:rPr>
          <w:rFonts w:hint="eastAsia" w:ascii="黑体" w:hAnsi="黑体" w:eastAsia="黑体" w:cs="黑体"/>
          <w:b/>
          <w:szCs w:val="32"/>
        </w:rPr>
        <w:t>附件</w:t>
      </w:r>
      <w:r>
        <w:rPr>
          <w:rFonts w:ascii="黑体" w:hAnsi="黑体" w:eastAsia="黑体" w:cs="黑体"/>
          <w:b/>
          <w:szCs w:val="32"/>
        </w:rPr>
        <w:t>1</w:t>
      </w:r>
      <w:r>
        <w:rPr>
          <w:b/>
        </w:rPr>
        <w:tab/>
      </w:r>
      <w:r>
        <w:rPr>
          <w:b/>
        </w:rPr>
        <w:fldChar w:fldCharType="begin"/>
      </w:r>
      <w:r>
        <w:rPr>
          <w:b/>
        </w:rPr>
        <w:instrText xml:space="preserve"> PAGEREF _Toc24222 </w:instrText>
      </w:r>
      <w:r>
        <w:rPr>
          <w:b/>
        </w:rPr>
        <w:fldChar w:fldCharType="separate"/>
      </w:r>
      <w:r>
        <w:rPr>
          <w:b/>
        </w:rPr>
        <w:t>23</w:t>
      </w:r>
      <w:r>
        <w:rPr>
          <w:b/>
        </w:rPr>
        <w:fldChar w:fldCharType="end"/>
      </w:r>
      <w:r>
        <w:rPr>
          <w:b/>
        </w:rPr>
        <w:fldChar w:fldCharType="end"/>
      </w:r>
    </w:p>
    <w:p>
      <w:pPr>
        <w:pStyle w:val="31"/>
        <w:tabs>
          <w:tab w:val="right" w:leader="dot" w:pos="8306"/>
        </w:tabs>
        <w:rPr>
          <w:b/>
        </w:rPr>
      </w:pPr>
      <w:r>
        <w:fldChar w:fldCharType="begin"/>
      </w:r>
      <w:r>
        <w:instrText xml:space="preserve"> HYPERLINK \l "_Toc23066"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_Toc23066 </w:instrText>
      </w:r>
      <w:r>
        <w:rPr>
          <w:b/>
        </w:rPr>
        <w:fldChar w:fldCharType="separate"/>
      </w:r>
      <w:r>
        <w:rPr>
          <w:b/>
        </w:rPr>
        <w:t>37</w:t>
      </w:r>
      <w:r>
        <w:rPr>
          <w:b/>
        </w:rPr>
        <w:fldChar w:fldCharType="end"/>
      </w:r>
      <w:r>
        <w:rPr>
          <w:b/>
        </w:rPr>
        <w:fldChar w:fldCharType="end"/>
      </w:r>
    </w:p>
    <w:p>
      <w:pPr>
        <w:pStyle w:val="30"/>
        <w:tabs>
          <w:tab w:val="right" w:leader="dot" w:pos="8306"/>
        </w:tabs>
        <w:ind w:left="420"/>
      </w:pPr>
      <w:r>
        <w:fldChar w:fldCharType="begin"/>
      </w:r>
      <w:r>
        <w:instrText xml:space="preserve"> HYPERLINK \l "_Toc2957" </w:instrText>
      </w:r>
      <w:r>
        <w:fldChar w:fldCharType="separate"/>
      </w:r>
      <w:r>
        <w:rPr>
          <w:rFonts w:hint="eastAsia" w:ascii="仿宋" w:hAnsi="仿宋" w:eastAsia="仿宋"/>
        </w:rPr>
        <w:t>一、收入支出决算总表</w:t>
      </w:r>
      <w:r>
        <w:tab/>
      </w:r>
      <w:r>
        <w:fldChar w:fldCharType="begin"/>
      </w:r>
      <w:r>
        <w:instrText xml:space="preserve"> PAGEREF _Toc2957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"_Toc17136" </w:instrText>
      </w:r>
      <w:r>
        <w:fldChar w:fldCharType="separate"/>
      </w:r>
      <w:r>
        <w:rPr>
          <w:rFonts w:hint="eastAsia" w:ascii="仿宋" w:hAnsi="仿宋" w:eastAsia="仿宋"/>
        </w:rPr>
        <w:t>二、收入决算表</w:t>
      </w:r>
      <w:r>
        <w:tab/>
      </w:r>
      <w:r>
        <w:fldChar w:fldCharType="begin"/>
      </w:r>
      <w:r>
        <w:instrText xml:space="preserve"> PAGEREF _Toc17136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"_Toc21318" </w:instrText>
      </w:r>
      <w:r>
        <w:fldChar w:fldCharType="separate"/>
      </w:r>
      <w:r>
        <w:rPr>
          <w:rFonts w:hint="eastAsia" w:ascii="仿宋" w:hAnsi="仿宋" w:eastAsia="仿宋"/>
        </w:rPr>
        <w:t>三、支出决算表</w:t>
      </w:r>
      <w:r>
        <w:tab/>
      </w:r>
      <w:r>
        <w:fldChar w:fldCharType="begin"/>
      </w:r>
      <w:r>
        <w:instrText xml:space="preserve"> PAGEREF _Toc21318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"_Toc29108" </w:instrText>
      </w:r>
      <w:r>
        <w:fldChar w:fldCharType="separate"/>
      </w:r>
      <w:r>
        <w:rPr>
          <w:rFonts w:hint="eastAsia" w:ascii="仿宋" w:hAnsi="仿宋" w:eastAsia="仿宋"/>
        </w:rPr>
        <w:t>四、财政拨款收入支出决算总表</w:t>
      </w:r>
      <w:r>
        <w:tab/>
      </w:r>
      <w:r>
        <w:fldChar w:fldCharType="begin"/>
      </w:r>
      <w:r>
        <w:instrText xml:space="preserve"> PAGEREF _Toc29108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"_Toc3915" </w:instrText>
      </w:r>
      <w:r>
        <w:fldChar w:fldCharType="separate"/>
      </w:r>
      <w:r>
        <w:rPr>
          <w:rFonts w:hint="eastAsia" w:ascii="仿宋" w:hAnsi="仿宋" w:eastAsia="仿宋"/>
        </w:rPr>
        <w:t>五、财政拨款支出决算明细表</w:t>
      </w:r>
      <w:r>
        <w:tab/>
      </w:r>
      <w:r>
        <w:fldChar w:fldCharType="begin"/>
      </w:r>
      <w:r>
        <w:instrText xml:space="preserve"> PAGEREF _Toc3915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"_Toc22102" </w:instrText>
      </w:r>
      <w:r>
        <w:fldChar w:fldCharType="separate"/>
      </w:r>
      <w:r>
        <w:rPr>
          <w:rFonts w:hint="eastAsia" w:ascii="仿宋" w:hAnsi="仿宋" w:eastAsia="仿宋"/>
        </w:rPr>
        <w:t>六、一般公共预算财政拨款支出决算表</w:t>
      </w:r>
      <w:r>
        <w:tab/>
      </w:r>
      <w:r>
        <w:fldChar w:fldCharType="begin"/>
      </w:r>
      <w:r>
        <w:instrText xml:space="preserve"> PAGEREF _Toc22102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"_Toc17011" </w:instrText>
      </w:r>
      <w:r>
        <w:fldChar w:fldCharType="separate"/>
      </w:r>
      <w:r>
        <w:rPr>
          <w:rFonts w:hint="eastAsia" w:ascii="仿宋" w:hAnsi="仿宋" w:eastAsia="仿宋"/>
        </w:rPr>
        <w:t>七、一般公共预算财政拨款支出决算明细表</w:t>
      </w:r>
      <w:r>
        <w:tab/>
      </w:r>
      <w:r>
        <w:fldChar w:fldCharType="begin"/>
      </w:r>
      <w:r>
        <w:instrText xml:space="preserve"> PAGEREF _Toc17011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"_Toc6225" </w:instrText>
      </w:r>
      <w:r>
        <w:fldChar w:fldCharType="separate"/>
      </w:r>
      <w:r>
        <w:rPr>
          <w:rFonts w:hint="eastAsia" w:ascii="仿宋" w:hAnsi="仿宋" w:eastAsia="仿宋"/>
        </w:rPr>
        <w:t>八、一般公共预算财政拨款基本支出决算表</w:t>
      </w:r>
      <w:r>
        <w:tab/>
      </w:r>
      <w:r>
        <w:fldChar w:fldCharType="begin"/>
      </w:r>
      <w:r>
        <w:instrText xml:space="preserve"> PAGEREF _Toc6225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"_Toc28235" </w:instrText>
      </w:r>
      <w:r>
        <w:fldChar w:fldCharType="separate"/>
      </w:r>
      <w:r>
        <w:rPr>
          <w:rFonts w:hint="eastAsia" w:ascii="仿宋" w:hAnsi="仿宋" w:eastAsia="仿宋"/>
        </w:rPr>
        <w:t>九、一般公共预算财政拨款项目支出决算表</w:t>
      </w:r>
      <w:r>
        <w:tab/>
      </w:r>
      <w:r>
        <w:fldChar w:fldCharType="begin"/>
      </w:r>
      <w:r>
        <w:instrText xml:space="preserve"> PAGEREF _Toc28235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"_Toc13071"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_Toc13071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"_Toc26715"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_Toc26715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"_Toc30365"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_Toc30365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"_Toc22172"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_Toc22172 </w:instrText>
      </w:r>
      <w:r>
        <w:fldChar w:fldCharType="separate"/>
      </w:r>
      <w:r>
        <w:t>37</w:t>
      </w:r>
      <w:r>
        <w:fldChar w:fldCharType="end"/>
      </w:r>
      <w:r>
        <w:fldChar w:fldCharType="end"/>
      </w:r>
    </w:p>
    <w:p>
      <w:pPr>
        <w:pStyle w:val="30"/>
        <w:tabs>
          <w:tab w:val="right" w:leader="dot" w:pos="8306"/>
        </w:tabs>
        <w:ind w:left="420"/>
      </w:pPr>
      <w:r>
        <w:fldChar w:fldCharType="begin"/>
      </w:r>
      <w:r>
        <w:instrText xml:space="preserve"> HYPERLINK \l "_Toc5821"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_Toc5821 </w:instrText>
      </w:r>
      <w:r>
        <w:fldChar w:fldCharType="separate"/>
      </w:r>
      <w:r>
        <w:t>37</w:t>
      </w:r>
      <w:r>
        <w:fldChar w:fldCharType="end"/>
      </w:r>
      <w:r>
        <w:fldChar w:fldCharType="end"/>
      </w:r>
    </w:p>
    <w:p>
      <w:pPr>
        <w:widowControl/>
        <w:rPr>
          <w:rFonts w:ascii="宋体" w:hAnsi="宋体" w:cs="宋体"/>
          <w:color w:val="000000"/>
          <w:sz w:val="24"/>
        </w:rPr>
      </w:pPr>
      <w:r>
        <w:rPr>
          <w:rFonts w:hint="eastAsia" w:ascii="宋体" w:hAnsi="宋体" w:cs="宋体"/>
          <w:b/>
          <w:color w:val="000000"/>
        </w:rPr>
        <w:fldChar w:fldCharType="end"/>
      </w: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spacing w:line="440" w:lineRule="exact"/>
        <w:jc w:val="left"/>
        <w:rPr>
          <w:rStyle w:val="18"/>
          <w:rFonts w:ascii="黑体" w:hAnsi="黑体" w:eastAsia="黑体"/>
        </w:rPr>
      </w:pPr>
      <w:bookmarkStart w:id="15" w:name="_Toc15377196"/>
      <w:bookmarkStart w:id="16" w:name="_Toc15396599"/>
    </w:p>
    <w:p>
      <w:pPr>
        <w:widowControl/>
        <w:spacing w:line="440" w:lineRule="exact"/>
        <w:ind w:firstLine="2209" w:firstLineChars="500"/>
        <w:outlineLvl w:val="0"/>
        <w:rPr>
          <w:rStyle w:val="18"/>
          <w:rFonts w:ascii="黑体" w:hAnsi="黑体" w:eastAsia="黑体"/>
          <w:b w:val="0"/>
        </w:rPr>
      </w:pPr>
      <w:bookmarkStart w:id="17" w:name="_Toc9783"/>
      <w:r>
        <w:rPr>
          <w:rStyle w:val="18"/>
          <w:rFonts w:hint="eastAsia" w:ascii="黑体" w:hAnsi="黑体" w:eastAsia="黑体"/>
        </w:rPr>
        <w:t>第一部分部门概况</w:t>
      </w:r>
      <w:bookmarkEnd w:id="15"/>
      <w:bookmarkEnd w:id="16"/>
      <w:bookmarkEnd w:id="17"/>
    </w:p>
    <w:p>
      <w:pPr>
        <w:pStyle w:val="14"/>
        <w:spacing w:before="0" w:after="0" w:line="560" w:lineRule="exact"/>
        <w:ind w:firstLine="960" w:firstLineChars="300"/>
        <w:rPr>
          <w:rFonts w:ascii="黑体" w:hAnsi="黑体" w:eastAsia="黑体"/>
          <w:b w:val="0"/>
          <w:color w:val="000000"/>
        </w:rPr>
      </w:pPr>
      <w:bookmarkStart w:id="18" w:name="_Toc25813"/>
      <w:bookmarkStart w:id="19" w:name="_Toc15377197"/>
      <w:bookmarkStart w:id="20" w:name="_Toc15396600"/>
    </w:p>
    <w:p>
      <w:pPr>
        <w:pStyle w:val="14"/>
        <w:spacing w:before="0" w:after="0" w:line="560" w:lineRule="exact"/>
        <w:ind w:firstLine="960" w:firstLineChars="300"/>
        <w:rPr>
          <w:rStyle w:val="23"/>
          <w:rFonts w:ascii="仿宋" w:hAnsi="仿宋" w:eastAsia="仿宋"/>
          <w:b w:val="0"/>
          <w:bCs w:val="0"/>
        </w:rPr>
      </w:pPr>
      <w:r>
        <w:rPr>
          <w:rFonts w:hint="eastAsia" w:ascii="黑体" w:hAnsi="黑体" w:eastAsia="黑体"/>
          <w:b w:val="0"/>
          <w:color w:val="000000"/>
        </w:rPr>
        <w:t>一、基</w:t>
      </w:r>
      <w:r>
        <w:rPr>
          <w:rStyle w:val="23"/>
          <w:rFonts w:hint="eastAsia" w:ascii="黑体" w:hAnsi="黑体" w:eastAsia="黑体"/>
          <w:b w:val="0"/>
          <w:bCs w:val="0"/>
        </w:rPr>
        <w:t>本</w:t>
      </w:r>
      <w:r>
        <w:rPr>
          <w:rFonts w:hint="eastAsia" w:ascii="黑体" w:hAnsi="黑体" w:eastAsia="黑体"/>
        </w:rPr>
        <w:t>职能及主要工作</w:t>
      </w:r>
      <w:bookmarkEnd w:id="18"/>
      <w:bookmarkEnd w:id="19"/>
      <w:bookmarkEnd w:id="20"/>
    </w:p>
    <w:p>
      <w:pPr>
        <w:spacing w:line="560" w:lineRule="exact"/>
        <w:ind w:firstLine="800" w:firstLineChars="250"/>
        <w:rPr>
          <w:rFonts w:ascii="仿宋" w:hAnsi="仿宋" w:eastAsia="仿宋"/>
          <w:sz w:val="32"/>
          <w:szCs w:val="32"/>
        </w:rPr>
      </w:pPr>
      <w:bookmarkStart w:id="21" w:name="_Toc15378445"/>
      <w:bookmarkStart w:id="22" w:name="_Toc15377198"/>
      <w:r>
        <w:rPr>
          <w:rFonts w:hint="eastAsia" w:ascii="仿宋" w:hAnsi="仿宋" w:eastAsia="仿宋"/>
          <w:sz w:val="32"/>
          <w:szCs w:val="32"/>
        </w:rPr>
        <w:t>（一）主要职能。</w:t>
      </w:r>
      <w:bookmarkEnd w:id="21"/>
      <w:bookmarkEnd w:id="22"/>
    </w:p>
    <w:p>
      <w:pPr>
        <w:spacing w:line="560" w:lineRule="exact"/>
        <w:ind w:firstLine="800" w:firstLineChars="250"/>
        <w:rPr>
          <w:rFonts w:ascii="仿宋" w:hAnsi="仿宋" w:eastAsia="仿宋"/>
          <w:sz w:val="32"/>
          <w:szCs w:val="32"/>
        </w:rPr>
      </w:pPr>
      <w:r>
        <w:rPr>
          <w:rFonts w:hint="eastAsia" w:ascii="仿宋" w:hAnsi="仿宋" w:eastAsia="仿宋"/>
          <w:sz w:val="32"/>
          <w:szCs w:val="32"/>
        </w:rPr>
        <w:t>1.认真贯彻落实党和国家的方针、政策，正确执行上级主管部门的决议和指示，全面实施素质教育，培养德、智、体、美等方面全面发展的社会主义事业的建设者和接班人。</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2.编制年度财政预算并执行，管理和监督各项财政收支。</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3.管理各类政策性补贴等资金，进一步完善财政补贴惠民资金“一卡（折）通”发放机制。</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4.负责对各类专项资金的监管，提高财政资金使用效率。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5.管理好幼儿园非税收入。</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6.提供加强财政管理的政策建议，负责财政、税收政策法规的宣传工作。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7.执行会计集中核算，严格按照上级财政部门规定的工作程序开展工作，充分发挥财政资金使用效率。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8.负责本单位的国有资产监督管理工作。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9.承办上级部门交办的其他事项。</w:t>
      </w:r>
    </w:p>
    <w:p>
      <w:pPr>
        <w:spacing w:line="560" w:lineRule="exact"/>
        <w:ind w:firstLine="800" w:firstLineChars="250"/>
        <w:rPr>
          <w:rFonts w:ascii="仿宋" w:hAnsi="仿宋" w:eastAsia="仿宋"/>
          <w:sz w:val="32"/>
          <w:szCs w:val="32"/>
        </w:rPr>
      </w:pPr>
      <w:bookmarkStart w:id="23" w:name="_Toc15377199"/>
      <w:bookmarkStart w:id="24" w:name="_Toc15378446"/>
      <w:r>
        <w:rPr>
          <w:rFonts w:hint="eastAsia" w:ascii="仿宋" w:hAnsi="仿宋" w:eastAsia="仿宋"/>
          <w:sz w:val="32"/>
          <w:szCs w:val="32"/>
        </w:rPr>
        <w:t>（二）2021年重点工作完成情况。</w:t>
      </w:r>
      <w:bookmarkEnd w:id="23"/>
      <w:bookmarkEnd w:id="24"/>
    </w:p>
    <w:p>
      <w:pPr>
        <w:spacing w:line="560" w:lineRule="exact"/>
        <w:ind w:firstLine="800" w:firstLineChars="250"/>
        <w:rPr>
          <w:rFonts w:ascii="仿宋" w:hAnsi="仿宋" w:eastAsia="仿宋"/>
          <w:sz w:val="32"/>
          <w:szCs w:val="32"/>
        </w:rPr>
      </w:pPr>
      <w:r>
        <w:rPr>
          <w:rFonts w:hint="eastAsia" w:ascii="仿宋" w:hAnsi="仿宋" w:eastAsia="仿宋"/>
          <w:sz w:val="32"/>
          <w:szCs w:val="32"/>
        </w:rPr>
        <w:t>什字小学在县委、县政府的领导下，在上级主管部门的指导下，全面完成了2021年教育教学工作，并取得了一定的成绩，特别是诚信教育进校园，我校以小手牵大手的方式，使得学校的诚信教育迈上了一个新台阶。</w:t>
      </w:r>
      <w:bookmarkStart w:id="25" w:name="_Toc15396601"/>
      <w:bookmarkStart w:id="26" w:name="_Toc15377200"/>
    </w:p>
    <w:p>
      <w:pPr>
        <w:spacing w:line="560" w:lineRule="exact"/>
        <w:ind w:firstLine="803" w:firstLineChars="250"/>
        <w:outlineLvl w:val="1"/>
      </w:pPr>
      <w:bookmarkStart w:id="27" w:name="_Toc22951"/>
      <w:r>
        <w:rPr>
          <w:rStyle w:val="23"/>
          <w:rFonts w:hint="eastAsia" w:ascii="黑体" w:hAnsi="黑体" w:eastAsia="黑体"/>
        </w:rPr>
        <w:t>二、</w:t>
      </w:r>
      <w:r>
        <w:rPr>
          <w:rFonts w:hint="eastAsia" w:ascii="黑体" w:hAnsi="黑体" w:eastAsia="黑体"/>
          <w:b/>
          <w:bCs/>
        </w:rPr>
        <w:t>机</w:t>
      </w:r>
      <w:r>
        <w:rPr>
          <w:rStyle w:val="23"/>
          <w:rFonts w:hint="eastAsia" w:ascii="黑体" w:hAnsi="黑体" w:eastAsia="黑体"/>
        </w:rPr>
        <w:t>构设置</w:t>
      </w:r>
      <w:bookmarkEnd w:id="25"/>
      <w:bookmarkEnd w:id="26"/>
      <w:bookmarkEnd w:id="27"/>
    </w:p>
    <w:p>
      <w:pPr>
        <w:spacing w:line="560" w:lineRule="exact"/>
        <w:ind w:firstLine="800" w:firstLineChars="250"/>
        <w:rPr>
          <w:rFonts w:ascii="仿宋" w:hAnsi="仿宋" w:eastAsia="仿宋"/>
          <w:sz w:val="32"/>
          <w:szCs w:val="32"/>
        </w:rPr>
      </w:pPr>
      <w:r>
        <w:rPr>
          <w:rFonts w:hint="eastAsia" w:ascii="仿宋" w:hAnsi="仿宋" w:eastAsia="仿宋"/>
          <w:sz w:val="32"/>
          <w:szCs w:val="32"/>
        </w:rPr>
        <w:t>通江县铁溪镇什字小学属于二级单位，其中行政单位0个，参照公务员法管理的事业单位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3"/>
        <w:adjustRightInd w:val="0"/>
        <w:snapToGrid w:val="0"/>
        <w:spacing w:beforeLines="0" w:line="56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ascii="仿宋" w:hAnsi="仿宋" w:eastAsia="仿宋"/>
          <w:color w:val="000000"/>
          <w:sz w:val="32"/>
          <w:szCs w:val="32"/>
        </w:rPr>
        <w:t>202</w:t>
      </w:r>
      <w:r>
        <w:rPr>
          <w:rFonts w:hint="eastAsia" w:ascii="仿宋" w:hAnsi="仿宋" w:eastAsia="仿宋"/>
          <w:color w:val="000000"/>
          <w:sz w:val="32"/>
          <w:szCs w:val="32"/>
        </w:rPr>
        <w:t>1年度部门决算编制范围的二级预算单位：通江县铁溪镇什字小学。</w:t>
      </w:r>
    </w:p>
    <w:p>
      <w:pPr>
        <w:widowControl/>
        <w:jc w:val="left"/>
        <w:outlineLvl w:val="0"/>
        <w:rPr>
          <w:rFonts w:ascii="仿宋" w:hAnsi="仿宋" w:eastAsia="仿宋"/>
          <w:color w:val="000000"/>
          <w:sz w:val="32"/>
          <w:szCs w:val="32"/>
        </w:rPr>
      </w:pPr>
      <w:bookmarkStart w:id="28" w:name="_Toc15377204"/>
      <w:bookmarkStart w:id="29" w:name="_Toc15396602"/>
    </w:p>
    <w:p>
      <w:pPr>
        <w:widowControl/>
        <w:jc w:val="left"/>
        <w:outlineLvl w:val="0"/>
        <w:rPr>
          <w:rStyle w:val="18"/>
          <w:rFonts w:ascii="黑体" w:hAnsi="黑体" w:eastAsia="黑体"/>
        </w:rPr>
      </w:pPr>
      <w:bookmarkStart w:id="30" w:name="_Toc21793"/>
      <w:r>
        <w:rPr>
          <w:rStyle w:val="18"/>
          <w:rFonts w:hint="eastAsia" w:ascii="黑体" w:hAnsi="黑体" w:eastAsia="黑体"/>
        </w:rPr>
        <w:t>第二部分</w:t>
      </w:r>
      <w:r>
        <w:rPr>
          <w:rStyle w:val="18"/>
          <w:rFonts w:ascii="黑体" w:hAnsi="黑体" w:eastAsia="黑体"/>
        </w:rPr>
        <w:t xml:space="preserve"> 202</w:t>
      </w:r>
      <w:r>
        <w:rPr>
          <w:rStyle w:val="18"/>
          <w:rFonts w:hint="eastAsia" w:ascii="黑体" w:hAnsi="黑体" w:eastAsia="黑体"/>
        </w:rPr>
        <w:t>1年度部门决算情况说明</w:t>
      </w:r>
      <w:bookmarkEnd w:id="28"/>
      <w:bookmarkEnd w:id="29"/>
      <w:bookmarkEnd w:id="30"/>
    </w:p>
    <w:p/>
    <w:p>
      <w:pPr>
        <w:pStyle w:val="34"/>
        <w:numPr>
          <w:ilvl w:val="0"/>
          <w:numId w:val="1"/>
        </w:numPr>
        <w:spacing w:line="600" w:lineRule="exact"/>
        <w:ind w:firstLineChars="0"/>
        <w:outlineLvl w:val="1"/>
        <w:rPr>
          <w:rStyle w:val="23"/>
          <w:rFonts w:ascii="黑体" w:hAnsi="黑体" w:eastAsia="黑体"/>
          <w:b w:val="0"/>
        </w:rPr>
      </w:pPr>
      <w:bookmarkStart w:id="31" w:name="_Toc15377205"/>
      <w:bookmarkStart w:id="32" w:name="_Toc15396603"/>
      <w:bookmarkStart w:id="33" w:name="_Toc20751"/>
      <w:r>
        <w:rPr>
          <w:rFonts w:hint="eastAsia" w:ascii="黑体" w:hAnsi="黑体" w:eastAsia="黑体"/>
          <w:color w:val="000000"/>
          <w:sz w:val="32"/>
          <w:szCs w:val="32"/>
        </w:rPr>
        <w:t>收</w:t>
      </w:r>
      <w:r>
        <w:rPr>
          <w:rStyle w:val="23"/>
          <w:rFonts w:hint="eastAsia" w:ascii="黑体" w:hAnsi="黑体" w:eastAsia="黑体"/>
          <w:b w:val="0"/>
        </w:rPr>
        <w:t>入支出决算总体情况说明</w:t>
      </w:r>
      <w:bookmarkEnd w:id="31"/>
      <w:bookmarkEnd w:id="32"/>
      <w:bookmarkEnd w:id="3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1年度收、支总计324.01万元。与</w:t>
      </w:r>
      <w:r>
        <w:rPr>
          <w:rFonts w:ascii="仿宋" w:hAnsi="仿宋" w:eastAsia="仿宋"/>
          <w:color w:val="000000"/>
          <w:sz w:val="32"/>
          <w:szCs w:val="32"/>
        </w:rPr>
        <w:t>20</w:t>
      </w:r>
      <w:r>
        <w:rPr>
          <w:rFonts w:hint="eastAsia" w:ascii="仿宋" w:hAnsi="仿宋" w:eastAsia="仿宋"/>
          <w:color w:val="000000"/>
          <w:sz w:val="32"/>
          <w:szCs w:val="32"/>
        </w:rPr>
        <w:t>20年相比，收、支总计增加11.33万元，增长3.6</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spacing w:line="600" w:lineRule="exact"/>
        <w:ind w:firstLine="420" w:firstLineChars="200"/>
        <w:rPr>
          <w:rFonts w:ascii="仿宋" w:hAnsi="仿宋" w:eastAsia="仿宋"/>
          <w:color w:val="000000"/>
          <w:sz w:val="32"/>
          <w:szCs w:val="32"/>
        </w:rPr>
      </w:pPr>
      <w:r>
        <w:pict>
          <v:shape id="_x0000_s1836" o:spid="_x0000_s1836" o:spt="75" type="#_x0000_t75" style="position:absolute;left:0pt;margin-left:3.95pt;margin-top:0.3pt;height:180.85pt;width:376.6pt;z-index:-251652096;mso-width-relative:page;mso-height-relative:page;" o:ole="t" filled="f" o:preferrelative="t" stroked="f" coordsize="21600,21600">
            <v:path/>
            <v:fill on="f" focussize="0,0"/>
            <v:stroke on="f" joinstyle="miter"/>
            <v:imagedata r:id="rId7" o:title=""/>
            <o:lock v:ext="edit" aspectratio="t"/>
          </v:shape>
          <o:OLEObject Type="Embed" ProgID="Excel.Sheet.8" ShapeID="_x0000_s1836" DrawAspect="Content" ObjectID="_1468075725" r:id="rId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jc w:val="center"/>
        <w:rPr>
          <w:rFonts w:ascii="仿宋_GB2312" w:eastAsia="仿宋_GB2312"/>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4"/>
        <w:numPr>
          <w:ilvl w:val="0"/>
          <w:numId w:val="1"/>
        </w:numPr>
        <w:spacing w:line="600" w:lineRule="exact"/>
        <w:ind w:firstLineChars="0"/>
        <w:outlineLvl w:val="1"/>
        <w:rPr>
          <w:rStyle w:val="23"/>
          <w:rFonts w:ascii="黑体" w:hAnsi="黑体" w:eastAsia="黑体"/>
          <w:b w:val="0"/>
        </w:rPr>
      </w:pPr>
      <w:bookmarkStart w:id="34" w:name="_Toc15377206"/>
      <w:bookmarkStart w:id="35" w:name="_Toc15396604"/>
      <w:bookmarkStart w:id="36" w:name="_Toc23971"/>
      <w:r>
        <w:rPr>
          <w:rFonts w:hint="eastAsia" w:ascii="黑体" w:hAnsi="黑体" w:eastAsia="黑体"/>
          <w:color w:val="000000"/>
          <w:sz w:val="32"/>
          <w:szCs w:val="32"/>
        </w:rPr>
        <w:t>收</w:t>
      </w:r>
      <w:r>
        <w:rPr>
          <w:rStyle w:val="23"/>
          <w:rFonts w:hint="eastAsia" w:ascii="黑体" w:hAnsi="黑体" w:eastAsia="黑体"/>
          <w:b w:val="0"/>
        </w:rPr>
        <w:t>入决算情况说明</w:t>
      </w:r>
      <w:bookmarkEnd w:id="34"/>
      <w:bookmarkEnd w:id="35"/>
      <w:bookmarkEnd w:id="36"/>
    </w:p>
    <w:p>
      <w:pPr>
        <w:spacing w:line="600" w:lineRule="exact"/>
        <w:ind w:firstLine="640" w:firstLineChars="200"/>
        <w:outlineLvl w:val="1"/>
        <w:rPr>
          <w:rFonts w:ascii="仿宋" w:hAnsi="仿宋" w:eastAsia="仿宋"/>
          <w:color w:val="000000"/>
          <w:sz w:val="32"/>
          <w:szCs w:val="32"/>
        </w:rPr>
      </w:pPr>
      <w:bookmarkStart w:id="37" w:name="_Toc5251"/>
      <w:r>
        <w:rPr>
          <w:rFonts w:ascii="仿宋" w:hAnsi="仿宋" w:eastAsia="仿宋"/>
          <w:color w:val="000000"/>
          <w:sz w:val="32"/>
          <w:szCs w:val="32"/>
        </w:rPr>
        <w:t>202</w:t>
      </w:r>
      <w:r>
        <w:rPr>
          <w:rFonts w:hint="eastAsia" w:ascii="仿宋" w:hAnsi="仿宋" w:eastAsia="仿宋"/>
          <w:color w:val="000000"/>
          <w:sz w:val="32"/>
          <w:szCs w:val="32"/>
        </w:rPr>
        <w:t>1年本年收入合计324.01万元，其中：一般公共预算财政拨款收入324.01万元，占100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7"/>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pict>
          <v:shape id="_x0000_s1838" o:spid="_x0000_s1838" o:spt="75" type="#_x0000_t75" style="position:absolute;left:0pt;margin-left:45.9pt;margin-top:5.35pt;height:150.15pt;width:303.2pt;z-index:-251657216;mso-width-relative:page;mso-height-relative:page;" o:ole="t" filled="f" o:preferrelative="t" stroked="f" coordsize="21600,21600">
            <v:path/>
            <v:fill on="f" focussize="0,0"/>
            <v:stroke on="f" joinstyle="miter"/>
            <v:imagedata r:id="rId9" o:title=""/>
            <o:lock v:ext="edit" aspectratio="t"/>
          </v:shape>
          <o:OLEObject Type="Embed" ProgID="Excel.Sheet.8" ShapeID="_x0000_s1838" DrawAspect="Content" ObjectID="_1468075726" r:id="rId8">
            <o:LockedField>false</o:LockedField>
          </o:OLEObject>
        </w:pict>
      </w: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4"/>
        <w:numPr>
          <w:ilvl w:val="0"/>
          <w:numId w:val="1"/>
        </w:numPr>
        <w:spacing w:line="600" w:lineRule="exact"/>
        <w:ind w:firstLineChars="0"/>
        <w:outlineLvl w:val="1"/>
        <w:rPr>
          <w:rStyle w:val="23"/>
          <w:rFonts w:ascii="黑体" w:hAnsi="黑体" w:eastAsia="黑体"/>
          <w:b w:val="0"/>
        </w:rPr>
      </w:pPr>
      <w:bookmarkStart w:id="38" w:name="_Toc15396605"/>
      <w:bookmarkStart w:id="39" w:name="_Toc251"/>
      <w:bookmarkStart w:id="40" w:name="_Toc15377207"/>
      <w:r>
        <w:rPr>
          <w:rFonts w:hint="eastAsia" w:ascii="黑体" w:hAnsi="黑体" w:eastAsia="黑体"/>
          <w:color w:val="000000"/>
          <w:sz w:val="32"/>
          <w:szCs w:val="32"/>
        </w:rPr>
        <w:t>支</w:t>
      </w:r>
      <w:r>
        <w:rPr>
          <w:rStyle w:val="23"/>
          <w:rFonts w:hint="eastAsia" w:ascii="黑体" w:hAnsi="黑体" w:eastAsia="黑体"/>
          <w:b w:val="0"/>
        </w:rPr>
        <w:t>出决算情况说明</w:t>
      </w:r>
      <w:bookmarkEnd w:id="38"/>
      <w:bookmarkEnd w:id="39"/>
      <w:bookmarkEnd w:id="40"/>
    </w:p>
    <w:p>
      <w:pPr>
        <w:spacing w:line="600" w:lineRule="exact"/>
        <w:ind w:firstLine="640" w:firstLineChars="200"/>
        <w:outlineLvl w:val="1"/>
        <w:rPr>
          <w:rFonts w:ascii="仿宋" w:hAnsi="仿宋" w:eastAsia="仿宋"/>
          <w:color w:val="000000"/>
          <w:sz w:val="32"/>
          <w:szCs w:val="32"/>
        </w:rPr>
      </w:pPr>
      <w:bookmarkStart w:id="41" w:name="_Toc21369"/>
      <w:r>
        <w:rPr>
          <w:rFonts w:ascii="仿宋" w:hAnsi="仿宋" w:eastAsia="仿宋"/>
          <w:color w:val="000000"/>
          <w:sz w:val="32"/>
          <w:szCs w:val="32"/>
        </w:rPr>
        <w:t>202</w:t>
      </w:r>
      <w:r>
        <w:rPr>
          <w:rFonts w:hint="eastAsia" w:ascii="仿宋" w:hAnsi="仿宋" w:eastAsia="仿宋"/>
          <w:color w:val="000000"/>
          <w:sz w:val="32"/>
          <w:szCs w:val="32"/>
        </w:rPr>
        <w:t>1年本年支出合计324.01万元，其中：基本支出280.58万元，占86.60</w:t>
      </w:r>
      <w:r>
        <w:rPr>
          <w:rFonts w:ascii="仿宋" w:hAnsi="仿宋" w:eastAsia="仿宋"/>
          <w:color w:val="000000"/>
          <w:sz w:val="32"/>
          <w:szCs w:val="32"/>
        </w:rPr>
        <w:t>%</w:t>
      </w:r>
      <w:r>
        <w:rPr>
          <w:rFonts w:hint="eastAsia" w:ascii="仿宋" w:hAnsi="仿宋" w:eastAsia="仿宋"/>
          <w:color w:val="000000"/>
          <w:sz w:val="32"/>
          <w:szCs w:val="32"/>
        </w:rPr>
        <w:t>；项目支出43.43万元，占13.40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1"/>
    </w:p>
    <w:p>
      <w:pPr>
        <w:spacing w:line="600" w:lineRule="exact"/>
        <w:ind w:firstLine="420" w:firstLineChars="200"/>
        <w:rPr>
          <w:rFonts w:ascii="仿宋" w:hAnsi="仿宋" w:eastAsia="仿宋"/>
          <w:color w:val="000000"/>
          <w:sz w:val="32"/>
          <w:szCs w:val="32"/>
        </w:rPr>
      </w:pPr>
      <w:r>
        <w:pict>
          <v:shape id="_x0000_s1840" o:spid="_x0000_s1840" o:spt="75" type="#_x0000_t75" style="position:absolute;left:0pt;margin-left:56.55pt;margin-top:10pt;height:167.5pt;width:309.4pt;z-index:-251656192;mso-width-relative:page;mso-height-relative:page;" o:ole="t" filled="f" o:preferrelative="t" stroked="f" coordsize="21600,21600">
            <v:path/>
            <v:fill on="f" focussize="0,0"/>
            <v:stroke on="f" joinstyle="miter"/>
            <v:imagedata r:id="rId11" o:title=""/>
            <o:lock v:ext="edit" aspectratio="t"/>
          </v:shape>
          <o:OLEObject Type="Embed" ProgID="Excel.Sheet.8" ShapeID="_x0000_s1840" DrawAspect="Content" ObjectID="_1468075727" r:id="rId10">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b/>
          <w:color w:val="FF0000"/>
          <w:sz w:val="32"/>
          <w:szCs w:val="32"/>
        </w:rPr>
      </w:pP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23"/>
          <w:rFonts w:ascii="黑体" w:hAnsi="黑体" w:eastAsia="黑体"/>
          <w:b w:val="0"/>
        </w:rPr>
      </w:pPr>
      <w:bookmarkStart w:id="42" w:name="_Toc15377208"/>
      <w:bookmarkStart w:id="43" w:name="_Toc29376"/>
      <w:bookmarkStart w:id="44" w:name="_Toc15396606"/>
      <w:r>
        <w:rPr>
          <w:rFonts w:hint="eastAsia" w:ascii="黑体" w:hAnsi="黑体" w:eastAsia="黑体"/>
          <w:color w:val="000000"/>
          <w:sz w:val="32"/>
          <w:szCs w:val="32"/>
        </w:rPr>
        <w:t>四、财</w:t>
      </w:r>
      <w:r>
        <w:rPr>
          <w:rStyle w:val="23"/>
          <w:rFonts w:hint="eastAsia" w:ascii="黑体" w:hAnsi="黑体" w:eastAsia="黑体"/>
          <w:b w:val="0"/>
        </w:rPr>
        <w:t>政拨款收入支出决算总体情况说明</w:t>
      </w:r>
      <w:bookmarkEnd w:id="42"/>
      <w:bookmarkEnd w:id="43"/>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1年财政拨款收、支总计324.01万元。与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20年相比，财政拨款收、支总计增加11.33万元，增长3.6</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spacing w:line="600" w:lineRule="exact"/>
        <w:ind w:firstLine="640"/>
        <w:rPr>
          <w:rFonts w:ascii="仿宋" w:hAnsi="仿宋" w:eastAsia="仿宋"/>
          <w:b/>
          <w:color w:val="FF0000"/>
          <w:sz w:val="32"/>
          <w:szCs w:val="32"/>
        </w:rPr>
      </w:pPr>
      <w:r>
        <w:pict>
          <v:shape id="_x0000_s1842" o:spid="_x0000_s1842" o:spt="75" type="#_x0000_t75" style="position:absolute;left:0pt;margin-left:12pt;margin-top:10.35pt;height:180.8pt;width:374.25pt;z-index:-251655168;mso-width-relative:page;mso-height-relative:page;" o:ole="t" filled="f" o:preferrelative="t" stroked="f" coordsize="21600,21600">
            <v:path/>
            <v:fill on="f" focussize="0,0"/>
            <v:stroke on="f" joinstyle="miter"/>
            <v:imagedata r:id="rId13" o:title=""/>
            <o:lock v:ext="edit" aspectratio="t"/>
          </v:shape>
          <o:OLEObject Type="Embed" ProgID="Excel.Sheet.8" ShapeID="_x0000_s1842" DrawAspect="Content" ObjectID="_1468075728" r:id="rId12">
            <o:LockedField>false</o:LockedField>
          </o:OLEObject>
        </w:pict>
      </w: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23"/>
          <w:rFonts w:ascii="黑体" w:hAnsi="黑体" w:eastAsia="黑体"/>
          <w:b w:val="0"/>
        </w:rPr>
      </w:pPr>
      <w:bookmarkStart w:id="45" w:name="_Toc30038"/>
      <w:bookmarkStart w:id="46" w:name="_Toc15377209"/>
      <w:bookmarkStart w:id="4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3"/>
          <w:rFonts w:hint="eastAsia" w:ascii="黑体" w:hAnsi="黑体" w:eastAsia="黑体"/>
          <w:b w:val="0"/>
        </w:rPr>
        <w:t>般公共预算</w:t>
      </w:r>
      <w:r>
        <w:rPr>
          <w:rFonts w:hint="eastAsia" w:ascii="黑体" w:hAnsi="黑体" w:eastAsia="黑体"/>
          <w:sz w:val="32"/>
          <w:szCs w:val="32"/>
        </w:rPr>
        <w:t>财政拨款支出决算情况说明</w:t>
      </w:r>
      <w:bookmarkEnd w:id="45"/>
      <w:bookmarkEnd w:id="46"/>
      <w:bookmarkEnd w:id="47"/>
    </w:p>
    <w:p>
      <w:pPr>
        <w:spacing w:line="600" w:lineRule="exact"/>
        <w:ind w:firstLine="643" w:firstLineChars="200"/>
        <w:outlineLvl w:val="2"/>
        <w:rPr>
          <w:rFonts w:ascii="仿宋" w:hAnsi="仿宋" w:eastAsia="仿宋"/>
          <w:b/>
          <w:color w:val="000000"/>
          <w:sz w:val="32"/>
          <w:szCs w:val="32"/>
        </w:rPr>
      </w:pPr>
      <w:bookmarkStart w:id="48" w:name="_Toc15377210"/>
      <w:r>
        <w:rPr>
          <w:rFonts w:hint="eastAsia" w:ascii="仿宋" w:hAnsi="仿宋" w:eastAsia="仿宋"/>
          <w:b/>
          <w:color w:val="000000"/>
          <w:sz w:val="32"/>
          <w:szCs w:val="32"/>
        </w:rPr>
        <w:t>（一）一般公共预算财政拨款支出决算总体情况</w:t>
      </w:r>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1年一般公共预算财政拨款支出324.01万元，占本年支出合计的100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20年相比，一般公共预算财政拨款增加11.33万元，增长3.6</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spacing w:line="600" w:lineRule="exact"/>
        <w:ind w:firstLine="420" w:firstLineChars="200"/>
      </w:pPr>
      <w:r>
        <w:pict>
          <v:shape id="_x0000_s1844" o:spid="_x0000_s1844" o:spt="75" type="#_x0000_t75" style="position:absolute;left:0pt;margin-left:8.45pt;margin-top:28.65pt;height:193.6pt;width:372pt;z-index:-251654144;mso-width-relative:page;mso-height-relative:page;" o:ole="t" filled="f" o:preferrelative="t" stroked="f" coordsize="21600,21600">
            <v:path/>
            <v:fill on="f" focussize="0,0"/>
            <v:stroke on="f" joinstyle="miter"/>
            <v:imagedata r:id="rId15" o:title=""/>
            <o:lock v:ext="edit" aspectratio="t"/>
          </v:shape>
          <o:OLEObject Type="Embed" ProgID="Excel.Sheet.8" ShapeID="_x0000_s1844" DrawAspect="Content" ObjectID="_1468075729" r:id="rId14">
            <o:LockedField>false</o:LockedField>
          </o:OLEObject>
        </w:pict>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numPr>
          <w:numId w:val="0"/>
        </w:numPr>
        <w:spacing w:line="600" w:lineRule="exact"/>
        <w:ind w:firstLine="643" w:firstLineChars="200"/>
        <w:rPr>
          <w:rFonts w:ascii="仿宋" w:hAnsi="仿宋" w:eastAsia="仿宋"/>
          <w:b/>
          <w:color w:val="000000"/>
          <w:sz w:val="32"/>
          <w:szCs w:val="32"/>
        </w:rPr>
      </w:pPr>
      <w:bookmarkStart w:id="49" w:name="_Toc15377211"/>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二</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一般公共预算财政拨款支出决算结构情况</w:t>
      </w:r>
      <w:bookmarkEnd w:id="49"/>
    </w:p>
    <w:p>
      <w:pPr>
        <w:spacing w:line="600" w:lineRule="exact"/>
        <w:ind w:firstLine="640" w:firstLineChars="20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1年一般公共预算财政拨款支出324.01万元，主要用于以下方面</w:t>
      </w:r>
      <w:r>
        <w:t>：</w:t>
      </w:r>
      <w:r>
        <w:rPr>
          <w:rFonts w:hint="eastAsia" w:ascii="仿宋" w:hAnsi="仿宋" w:eastAsia="仿宋"/>
          <w:b/>
          <w:color w:val="000000"/>
          <w:sz w:val="32"/>
          <w:szCs w:val="32"/>
        </w:rPr>
        <w:t>教育支出（类）</w:t>
      </w:r>
      <w:r>
        <w:rPr>
          <w:rFonts w:hint="eastAsia" w:ascii="仿宋" w:hAnsi="仿宋" w:eastAsia="仿宋"/>
          <w:color w:val="000000"/>
          <w:sz w:val="32"/>
          <w:szCs w:val="32"/>
        </w:rPr>
        <w:t>267.91万元，占82.70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支出23.86万元，占7.36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13.84万元，占4.27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0.5万元；占0.15%；</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17.89万元，占比5.52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center"/>
        <w:rPr>
          <w:rFonts w:ascii="仿宋" w:hAnsi="仿宋" w:eastAsia="仿宋"/>
          <w:color w:val="000000"/>
          <w:sz w:val="32"/>
          <w:szCs w:val="32"/>
        </w:rPr>
      </w:pPr>
      <w:r>
        <w:pict>
          <v:shape id="_x0000_s1846" o:spid="_x0000_s1846" o:spt="75" type="#_x0000_t75" style="position:absolute;left:0pt;margin-left:26.85pt;margin-top:14.25pt;height:193.1pt;width:349.6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7" o:title=""/>
            <o:lock v:ext="edit" aspectratio="t"/>
            <w10:wrap type="square"/>
          </v:shape>
          <o:OLEObject Type="Embed" ProgID="Excel.Sheet.8" ShapeID="_x0000_s1846" DrawAspect="Content" ObjectID="_1468075730" r:id="rId16">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50" w:name="_Toc15377212"/>
      <w:r>
        <w:rPr>
          <w:rFonts w:hint="eastAsia" w:ascii="仿宋" w:hAnsi="仿宋" w:eastAsia="仿宋"/>
          <w:b/>
          <w:color w:val="000000"/>
          <w:sz w:val="32"/>
          <w:szCs w:val="32"/>
          <w:u w:val="none" w:color="FFB03A"/>
          <w:shd w:val="clear" w:fill="auto"/>
        </w:rPr>
        <w:t>（三）</w:t>
      </w:r>
      <w:r>
        <w:rPr>
          <w:rFonts w:hint="eastAsia" w:ascii="仿宋" w:hAnsi="仿宋" w:eastAsia="仿宋"/>
          <w:b/>
          <w:color w:val="000000"/>
          <w:sz w:val="32"/>
          <w:szCs w:val="32"/>
        </w:rPr>
        <w:t>一般公共预算财政拨款支出决算具体情况</w:t>
      </w:r>
      <w:bookmarkEnd w:id="50"/>
    </w:p>
    <w:p>
      <w:pPr>
        <w:spacing w:line="600" w:lineRule="exact"/>
        <w:ind w:firstLine="643" w:firstLineChars="200"/>
        <w:outlineLvl w:val="2"/>
        <w:rPr>
          <w:rFonts w:ascii="仿宋" w:hAnsi="仿宋" w:eastAsia="仿宋"/>
          <w:color w:val="FF0000"/>
          <w:sz w:val="32"/>
          <w:szCs w:val="32"/>
        </w:rPr>
      </w:pPr>
      <w:bookmarkStart w:id="51" w:name="_Toc15377444"/>
      <w:bookmarkStart w:id="52" w:name="_Toc15377213"/>
      <w:bookmarkStart w:id="53" w:name="_Toc15378460"/>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1年一般公共预算支出决算数为324.01万元</w:t>
      </w:r>
      <w:r>
        <w:rPr>
          <w:rFonts w:hint="eastAsia" w:ascii="仿宋" w:hAnsi="仿宋" w:eastAsia="仿宋"/>
          <w:color w:val="000000"/>
          <w:sz w:val="32"/>
          <w:szCs w:val="32"/>
        </w:rPr>
        <w:t>，</w:t>
      </w:r>
      <w:r>
        <w:rPr>
          <w:rStyle w:val="10"/>
          <w:rFonts w:hint="eastAsia" w:ascii="仿宋" w:hAnsi="仿宋" w:eastAsia="仿宋"/>
          <w:bCs/>
          <w:color w:val="000000"/>
          <w:sz w:val="32"/>
          <w:szCs w:val="32"/>
        </w:rPr>
        <w:t>完成预算的</w:t>
      </w:r>
      <w:r>
        <w:rPr>
          <w:rFonts w:hint="eastAsia" w:ascii="仿宋" w:hAnsi="仿宋" w:eastAsia="仿宋"/>
          <w:bCs/>
          <w:color w:val="000000"/>
          <w:sz w:val="32"/>
          <w:szCs w:val="32"/>
        </w:rPr>
        <w:t>100</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。其中：</w:t>
      </w:r>
      <w:bookmarkEnd w:id="51"/>
      <w:bookmarkEnd w:id="52"/>
      <w:bookmarkEnd w:id="53"/>
    </w:p>
    <w:p>
      <w:pPr>
        <w:spacing w:line="600" w:lineRule="exact"/>
        <w:ind w:firstLine="643" w:firstLineChars="200"/>
        <w:rPr>
          <w:rFonts w:ascii="仿宋" w:hAnsi="仿宋" w:eastAsia="仿宋"/>
          <w:b/>
          <w:color w:val="000000"/>
          <w:sz w:val="32"/>
          <w:szCs w:val="32"/>
        </w:rPr>
      </w:pPr>
      <w:r>
        <w:rPr>
          <w:rStyle w:val="10"/>
          <w:rFonts w:ascii="仿宋" w:hAnsi="仿宋" w:eastAsia="仿宋"/>
          <w:bCs/>
          <w:color w:val="000000"/>
          <w:sz w:val="32"/>
          <w:szCs w:val="32"/>
        </w:rPr>
        <w:t>1.</w:t>
      </w:r>
      <w:r>
        <w:rPr>
          <w:rStyle w:val="10"/>
          <w:rFonts w:hint="eastAsia" w:ascii="仿宋" w:hAnsi="仿宋" w:eastAsia="仿宋"/>
          <w:bCs/>
          <w:color w:val="000000"/>
          <w:sz w:val="32"/>
          <w:szCs w:val="32"/>
        </w:rPr>
        <w:t>教育</w:t>
      </w:r>
      <w:r>
        <w:rPr>
          <w:rFonts w:hint="eastAsia" w:ascii="仿宋" w:hAnsi="仿宋" w:eastAsia="仿宋"/>
          <w:bCs/>
          <w:color w:val="000000"/>
          <w:sz w:val="32"/>
          <w:szCs w:val="32"/>
        </w:rPr>
        <w:t>（类）</w:t>
      </w:r>
      <w:r>
        <w:rPr>
          <w:rStyle w:val="10"/>
          <w:rFonts w:hint="eastAsia" w:ascii="仿宋" w:hAnsi="仿宋" w:eastAsia="仿宋"/>
          <w:bCs/>
          <w:color w:val="000000"/>
          <w:sz w:val="32"/>
          <w:szCs w:val="32"/>
        </w:rPr>
        <w:t>普通教育（款）小学教育（项）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支出决算为267.91万元，完成预算100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2</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社会保障和就业（类）</w:t>
      </w:r>
      <w:r>
        <w:rPr>
          <w:rFonts w:hint="eastAsia" w:ascii="仿宋" w:hAnsi="仿宋" w:eastAsia="仿宋"/>
          <w:b/>
          <w:color w:val="000000"/>
          <w:sz w:val="32"/>
          <w:szCs w:val="32"/>
        </w:rPr>
        <w:t>人力资源和社会保障管理事务（款）社会保险经办机构（项）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w:t>
      </w:r>
      <w:r>
        <w:rPr>
          <w:rFonts w:hint="eastAsia" w:ascii="仿宋" w:hAnsi="仿宋" w:eastAsia="仿宋"/>
          <w:color w:val="000000"/>
          <w:sz w:val="32"/>
          <w:szCs w:val="32"/>
        </w:rPr>
        <w:t>23.86</w:t>
      </w:r>
      <w:r>
        <w:rPr>
          <w:rStyle w:val="10"/>
          <w:rFonts w:hint="eastAsia" w:ascii="仿宋" w:hAnsi="仿宋" w:eastAsia="仿宋"/>
          <w:b w:val="0"/>
          <w:bCs/>
          <w:color w:val="000000"/>
          <w:sz w:val="32"/>
          <w:szCs w:val="32"/>
        </w:rPr>
        <w:t>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3</w:t>
      </w:r>
      <w:r>
        <w:rPr>
          <w:rStyle w:val="10"/>
          <w:rFonts w:ascii="仿宋" w:hAnsi="仿宋" w:eastAsia="仿宋"/>
          <w:bCs/>
          <w:color w:val="000000"/>
          <w:sz w:val="32"/>
          <w:szCs w:val="32"/>
        </w:rPr>
        <w:t>.</w:t>
      </w:r>
      <w:r>
        <w:rPr>
          <w:rFonts w:hint="eastAsia" w:ascii="仿宋" w:hAnsi="仿宋" w:eastAsia="仿宋"/>
          <w:b/>
          <w:bCs/>
          <w:color w:val="000000"/>
          <w:sz w:val="32"/>
          <w:szCs w:val="32"/>
        </w:rPr>
        <w:t>卫生健康</w:t>
      </w:r>
      <w:r>
        <w:rPr>
          <w:rStyle w:val="10"/>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w:t>
      </w:r>
      <w:r>
        <w:rPr>
          <w:rFonts w:hint="eastAsia" w:ascii="仿宋" w:hAnsi="仿宋" w:eastAsia="仿宋"/>
          <w:color w:val="000000"/>
          <w:sz w:val="32"/>
          <w:szCs w:val="32"/>
        </w:rPr>
        <w:t>13.84</w:t>
      </w:r>
      <w:r>
        <w:rPr>
          <w:rStyle w:val="10"/>
          <w:rFonts w:hint="eastAsia" w:ascii="仿宋" w:hAnsi="仿宋" w:eastAsia="仿宋"/>
          <w:b w:val="0"/>
          <w:bCs/>
          <w:color w:val="000000"/>
          <w:sz w:val="32"/>
          <w:szCs w:val="32"/>
        </w:rPr>
        <w:t>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4</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农林水（类）扶贫（款），其他扶贫支出（项）：</w:t>
      </w:r>
      <w:r>
        <w:rPr>
          <w:rFonts w:hint="eastAsia" w:ascii="仿宋" w:hAnsi="仿宋" w:eastAsia="仿宋"/>
          <w:bCs/>
          <w:color w:val="000000"/>
          <w:sz w:val="32"/>
          <w:szCs w:val="32"/>
        </w:rPr>
        <w:t>支出决算数为0.5万元，完成预算100%，决算数等于预算数。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5</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住房保障（类）住房保障（款）住房公积金（项）：</w:t>
      </w:r>
      <w:r>
        <w:rPr>
          <w:rFonts w:hint="eastAsia" w:ascii="仿宋" w:hAnsi="仿宋" w:eastAsia="仿宋"/>
          <w:bCs/>
          <w:color w:val="000000"/>
          <w:sz w:val="32"/>
          <w:szCs w:val="32"/>
        </w:rPr>
        <w:t>支出决算数为</w:t>
      </w:r>
      <w:r>
        <w:rPr>
          <w:rFonts w:hint="eastAsia" w:ascii="仿宋" w:hAnsi="仿宋" w:eastAsia="仿宋"/>
          <w:color w:val="000000"/>
          <w:sz w:val="32"/>
          <w:szCs w:val="32"/>
        </w:rPr>
        <w:t>17.89</w:t>
      </w:r>
      <w:r>
        <w:rPr>
          <w:rFonts w:hint="eastAsia" w:ascii="仿宋" w:hAnsi="仿宋" w:eastAsia="仿宋"/>
          <w:bCs/>
          <w:color w:val="000000"/>
          <w:sz w:val="32"/>
          <w:szCs w:val="32"/>
        </w:rPr>
        <w:t>万元，完成预算100%，决算数等于预算数。</w:t>
      </w:r>
    </w:p>
    <w:p>
      <w:pPr>
        <w:tabs>
          <w:tab w:val="right" w:pos="8306"/>
        </w:tabs>
        <w:spacing w:line="600" w:lineRule="exact"/>
        <w:ind w:firstLine="640" w:firstLineChars="200"/>
        <w:outlineLvl w:val="1"/>
      </w:pPr>
      <w:bookmarkStart w:id="54" w:name="_Toc15396608"/>
      <w:bookmarkStart w:id="55" w:name="_Toc7745"/>
      <w:bookmarkStart w:id="5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3"/>
          <w:rFonts w:hint="eastAsia" w:ascii="黑体" w:hAnsi="黑体" w:eastAsia="黑体"/>
          <w:b w:val="0"/>
        </w:rPr>
        <w:t>般公共预算</w:t>
      </w:r>
      <w:r>
        <w:rPr>
          <w:rFonts w:hint="eastAsia" w:ascii="黑体" w:hAnsi="黑体" w:eastAsia="黑体"/>
          <w:sz w:val="32"/>
          <w:szCs w:val="32"/>
        </w:rPr>
        <w:t>财政拨款基本支出决算情况说明</w:t>
      </w:r>
      <w:bookmarkEnd w:id="54"/>
      <w:bookmarkEnd w:id="55"/>
      <w:bookmarkEnd w:id="56"/>
      <w:r>
        <w:rPr>
          <w:rStyle w:val="23"/>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1年一般公共预算财政拨款基本支出280.58万元，其中：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250.95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29.63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3"/>
          <w:rFonts w:ascii="黑体" w:hAnsi="黑体" w:eastAsia="黑体"/>
          <w:b w:val="0"/>
        </w:rPr>
      </w:pPr>
      <w:bookmarkStart w:id="57" w:name="_Toc15377215"/>
      <w:bookmarkStart w:id="58" w:name="_Toc23465"/>
      <w:bookmarkStart w:id="59" w:name="_Toc15396609"/>
      <w:r>
        <w:rPr>
          <w:rFonts w:hint="eastAsia" w:ascii="黑体" w:eastAsia="黑体"/>
          <w:color w:val="000000"/>
          <w:sz w:val="32"/>
          <w:szCs w:val="32"/>
        </w:rPr>
        <w:t>七、</w:t>
      </w:r>
      <w:r>
        <w:rPr>
          <w:rStyle w:val="23"/>
          <w:rFonts w:hint="eastAsia" w:ascii="黑体" w:hAnsi="黑体" w:eastAsia="黑体"/>
        </w:rPr>
        <w:t>“</w:t>
      </w:r>
      <w:r>
        <w:rPr>
          <w:rStyle w:val="23"/>
          <w:rFonts w:hint="eastAsia" w:ascii="黑体" w:hAnsi="黑体" w:eastAsia="黑体"/>
          <w:b w:val="0"/>
        </w:rPr>
        <w:t>三公”经费</w:t>
      </w:r>
      <w:r>
        <w:rPr>
          <w:rFonts w:hint="eastAsia" w:ascii="黑体" w:hAnsi="黑体" w:eastAsia="黑体"/>
        </w:rPr>
        <w:t>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r>
        <w:rPr>
          <w:rFonts w:hint="eastAsia" w:ascii="仿宋" w:hAnsi="仿宋" w:eastAsia="仿宋"/>
          <w:b/>
          <w:color w:val="000000"/>
          <w:sz w:val="32"/>
          <w:szCs w:val="32"/>
        </w:rPr>
        <w:t>（一）“三公”经费财政拨款支出决算总体情况说明</w:t>
      </w:r>
      <w:bookmarkEnd w:id="60"/>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1年“三公”经费财政拨款支出决算为0.1万元，完成预算100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61" w:name="_Toc15377217"/>
      <w:r>
        <w:rPr>
          <w:rFonts w:hint="eastAsia" w:ascii="仿宋" w:hAnsi="仿宋" w:eastAsia="仿宋"/>
          <w:b/>
          <w:color w:val="000000"/>
          <w:sz w:val="32"/>
          <w:szCs w:val="32"/>
        </w:rPr>
        <w:t>（二）“三公”经费财政拨款支出决算具体情况说明</w:t>
      </w:r>
      <w:bookmarkEnd w:id="6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1年“三公”经费财政拨款支出决算中，因公出国（境）费支出决算0万元；公务用车购置及运行维护费支出决算0万元；公务接待费支出决算0.1万元，占比100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1848" o:spid="_x0000_s1848" o:spt="75" type="#_x0000_t75" style="position:absolute;left:0pt;margin-left:37.4pt;margin-top:4.8pt;height:223.5pt;width:351pt;mso-wrap-distance-bottom:0pt;mso-wrap-distance-left:9pt;mso-wrap-distance-right:9pt;mso-wrap-distance-top:0pt;z-index:251663360;mso-width-relative:page;mso-height-relative:page;" o:ole="t" filled="f" o:preferrelative="t" stroked="f" coordsize="21600,21600">
            <v:path/>
            <v:fill on="f" focussize="0,0"/>
            <v:stroke on="f" joinstyle="miter"/>
            <v:imagedata r:id="rId19" o:title=""/>
            <o:lock v:ext="edit" aspectratio="t"/>
            <w10:wrap type="square"/>
          </v:shape>
          <o:OLEObject Type="Embed" ProgID="Excel.Sheet.8" ShapeID="_x0000_s1848" DrawAspect="Content" ObjectID="_1468075731" r:id="rId18">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0.1万元。其中：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0.1</w:t>
      </w:r>
      <w:r>
        <w:rPr>
          <w:rFonts w:hint="eastAsia" w:ascii="仿宋_GB2312" w:eastAsia="仿宋_GB2312"/>
          <w:color w:val="000000"/>
          <w:sz w:val="32"/>
          <w:szCs w:val="32"/>
        </w:rPr>
        <w:t>万元，主要用于执行公务、开展业务活动开支、用餐费用等。国内公务接待4批次，50人次（不包括陪同人员），共计支出0.1万元，具体内容包括：相关部门检查指导工作发生的接待支出0.1万元。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3"/>
          <w:rFonts w:ascii="黑体" w:hAnsi="黑体" w:eastAsia="黑体"/>
        </w:rPr>
      </w:pPr>
      <w:bookmarkStart w:id="62" w:name="_Toc15396610"/>
      <w:bookmarkStart w:id="63" w:name="_Toc23654"/>
      <w:bookmarkStart w:id="64" w:name="_Toc15377218"/>
      <w:r>
        <w:rPr>
          <w:rFonts w:hint="eastAsia" w:ascii="黑体" w:eastAsia="黑体"/>
          <w:color w:val="000000"/>
          <w:sz w:val="32"/>
          <w:szCs w:val="32"/>
        </w:rPr>
        <w:t>八、</w:t>
      </w:r>
      <w:r>
        <w:rPr>
          <w:rStyle w:val="23"/>
          <w:rFonts w:hint="eastAsia" w:ascii="黑体" w:hAnsi="黑体" w:eastAsia="黑体"/>
          <w:b w:val="0"/>
        </w:rPr>
        <w:t>政府性基金预算</w:t>
      </w:r>
      <w:r>
        <w:rPr>
          <w:rFonts w:hint="eastAsia" w:ascii="黑体" w:hAnsi="黑体" w:eastAsia="黑体"/>
        </w:rPr>
        <w:t>支出决算情况说明</w:t>
      </w:r>
      <w:bookmarkEnd w:id="62"/>
      <w:bookmarkEnd w:id="63"/>
      <w:bookmarkEnd w:id="6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2"/>
        </w:numPr>
        <w:spacing w:line="600" w:lineRule="exact"/>
        <w:ind w:firstLine="640"/>
        <w:outlineLvl w:val="1"/>
        <w:rPr>
          <w:rStyle w:val="23"/>
          <w:rFonts w:ascii="黑体" w:hAnsi="黑体" w:eastAsia="黑体"/>
          <w:b w:val="0"/>
        </w:rPr>
      </w:pPr>
      <w:bookmarkStart w:id="65" w:name="_Toc15396611"/>
      <w:bookmarkStart w:id="66" w:name="_Toc15377219"/>
      <w:bookmarkStart w:id="67" w:name="_Toc19205"/>
      <w:r>
        <w:rPr>
          <w:rStyle w:val="23"/>
          <w:rFonts w:hint="eastAsia" w:ascii="黑体" w:hAnsi="黑体" w:eastAsia="黑体"/>
          <w:b w:val="0"/>
        </w:rPr>
        <w:t>国有资本</w:t>
      </w:r>
      <w:r>
        <w:rPr>
          <w:rFonts w:hint="eastAsia" w:ascii="黑体" w:hAnsi="黑体" w:eastAsia="黑体"/>
        </w:rPr>
        <w:t>经营预算支出决算情况说明</w:t>
      </w:r>
      <w:bookmarkEnd w:id="65"/>
      <w:bookmarkEnd w:id="66"/>
      <w:bookmarkEnd w:id="6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800" w:firstLineChars="250"/>
        <w:outlineLvl w:val="1"/>
        <w:rPr>
          <w:rStyle w:val="23"/>
          <w:rFonts w:ascii="黑体" w:hAnsi="黑体" w:eastAsia="黑体"/>
        </w:rPr>
      </w:pPr>
      <w:bookmarkStart w:id="68" w:name="_Toc15377221"/>
      <w:bookmarkStart w:id="69" w:name="_Toc6547"/>
      <w:bookmarkStart w:id="70" w:name="_Toc15396612"/>
      <w:r>
        <w:rPr>
          <w:rFonts w:hint="eastAsia" w:ascii="黑体" w:hAnsi="黑体" w:eastAsia="黑体"/>
          <w:color w:val="000000"/>
          <w:sz w:val="32"/>
          <w:szCs w:val="32"/>
        </w:rPr>
        <w:t>十</w:t>
      </w:r>
      <w:r>
        <w:rPr>
          <w:rStyle w:val="23"/>
          <w:rFonts w:hint="eastAsia" w:ascii="黑体" w:hAnsi="黑体" w:eastAsia="黑体"/>
        </w:rPr>
        <w:t>、</w:t>
      </w:r>
      <w:r>
        <w:rPr>
          <w:rStyle w:val="23"/>
          <w:rFonts w:hint="eastAsia" w:ascii="黑体" w:hAnsi="黑体" w:eastAsia="黑体"/>
          <w:b w:val="0"/>
        </w:rPr>
        <w:t>其他重要事项的</w:t>
      </w:r>
      <w:r>
        <w:rPr>
          <w:rFonts w:hint="eastAsia" w:ascii="黑体" w:hAnsi="黑体" w:eastAsia="黑体"/>
        </w:rPr>
        <w:t>情况说明</w:t>
      </w:r>
      <w:bookmarkEnd w:id="68"/>
      <w:bookmarkEnd w:id="69"/>
      <w:bookmarkEnd w:id="70"/>
    </w:p>
    <w:p>
      <w:pPr>
        <w:spacing w:line="600" w:lineRule="exact"/>
        <w:ind w:firstLine="643" w:firstLineChars="200"/>
        <w:outlineLvl w:val="2"/>
        <w:rPr>
          <w:rFonts w:ascii="仿宋" w:hAnsi="仿宋" w:eastAsia="仿宋"/>
          <w:color w:val="000000"/>
          <w:sz w:val="32"/>
          <w:szCs w:val="32"/>
        </w:rPr>
      </w:pPr>
      <w:bookmarkStart w:id="71" w:name="_Toc15377222"/>
      <w:r>
        <w:rPr>
          <w:rFonts w:hint="eastAsia" w:ascii="仿宋" w:hAnsi="仿宋" w:eastAsia="仿宋"/>
          <w:b/>
          <w:color w:val="000000"/>
          <w:sz w:val="32"/>
          <w:szCs w:val="32"/>
        </w:rPr>
        <w:t>（一）机关运行经费支出情况</w:t>
      </w:r>
      <w:bookmarkEnd w:id="71"/>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1年，通江县铁溪镇什字小学无机关运行经费支出。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2" w:name="_Toc15377223"/>
      <w:r>
        <w:rPr>
          <w:rFonts w:hint="eastAsia" w:ascii="仿宋" w:hAnsi="仿宋" w:eastAsia="仿宋"/>
          <w:b/>
          <w:color w:val="000000"/>
          <w:sz w:val="32"/>
          <w:szCs w:val="32"/>
        </w:rPr>
        <w:t>（二）政府采购支出情况</w:t>
      </w:r>
      <w:bookmarkEnd w:id="7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1年，通江县铁溪镇什字小学政府采购支出总额0万元。授予中小企业合同金额0万元。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3" w:name="_Toc15377224"/>
      <w:r>
        <w:rPr>
          <w:rFonts w:hint="eastAsia" w:ascii="仿宋" w:hAnsi="仿宋" w:eastAsia="仿宋"/>
          <w:b/>
          <w:color w:val="000000"/>
          <w:sz w:val="32"/>
          <w:szCs w:val="32"/>
        </w:rPr>
        <w:t>（三）国有资产占有使用情况</w:t>
      </w:r>
      <w:bookmarkEnd w:id="73"/>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日，通江县铁溪镇什字小学共有车辆0辆，单价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djustRightInd w:val="0"/>
        <w:snapToGrid w:val="0"/>
        <w:spacing w:line="560" w:lineRule="exact"/>
        <w:ind w:left="640"/>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根据预算绩效管理要求，本部门在年初预算编制阶段，对8个项目编制了绩效目标，预算执行过程中，选取5个项目开展绩效监控，年终执行完毕后，对5个项目开展了绩效目标完成情况自评。</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1年度部门决算中反映“学前教育资助”“义教家庭经济困难学生生活补助”“义教学生营养餐”“校舍维修”“扶贫”等5个项目绩效目标实际完成情况。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前教育资助项目绩效目标完成情况综述。项目全年预算数为2.81万元，执行数为2.81万元，完成预算的100%。通过项目实施，保障学前教育阶段学生得到资助。下一步改进措施：继续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义教家庭经济困难学生生活补助项目绩效目标完成情况综述。项目全年预算数为3.125万元，执行数为3.125万元，完成预算的100%。通过项目实施，保障国家惠民政策足额按时发放到位，人民增收。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义教学生营养餐项目绩效目标完成情况综述。项目全年预算数为10.696万元，执行数为10.696万元，完成预算的100%。通过项目实施，保障学前教育阶段学生得到资助。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舍维修项目绩效目标完成情况综述。项目全年预算数为26万元，执行数为26万元，完成预算的100%。通过项目实施，保障项目顺利实施，师生环境得到大力改善。下一步改进措施：加强项目管理，提升社会满意度。</w:t>
      </w: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扶贫项目绩效目标完成情况综述。项目全年预算数为0.5万元，执行数为0.5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pPr>
        <w:spacing w:line="580" w:lineRule="exact"/>
        <w:ind w:firstLine="640" w:firstLineChars="200"/>
        <w:rPr>
          <w:rFonts w:ascii="仿宋_GB2312" w:hAnsi="仿宋_GB2312" w:eastAsia="仿宋_GB2312" w:cs="仿宋_GB2312"/>
          <w:sz w:val="32"/>
          <w:szCs w:val="32"/>
        </w:rPr>
      </w:pPr>
    </w:p>
    <w:tbl>
      <w:tblPr>
        <w:tblStyle w:val="7"/>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ind w:firstLine="3253" w:firstLineChars="900"/>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通江县铁溪镇什字小学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r>
      <w:tr>
        <w:tblPrEx>
          <w:tblCellMar>
            <w:top w:w="0" w:type="dxa"/>
            <w:left w:w="0" w:type="dxa"/>
            <w:bottom w:w="0" w:type="dxa"/>
            <w:right w:w="0" w:type="dxa"/>
          </w:tblCellMar>
        </w:tblPrEx>
        <w:trPr>
          <w:trHeight w:val="53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保障幼儿园学生的基本学习及正常的生活秩序。</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保障幼儿园学生的基本学习及正常的生活秩序。</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学前教育资金支出率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学前教育资金成本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家庭经济困难学生生活补助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通江县铁溪镇什字小学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cs="宋体"/>
                <w:sz w:val="24"/>
              </w:rPr>
              <w:t>3.125万元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hAnsi="宋体" w:cs="宋体"/>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cs="宋体"/>
                <w:sz w:val="24"/>
              </w:rPr>
              <w:t>3.125万元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cs="宋体"/>
                <w:sz w:val="24"/>
              </w:rPr>
              <w:t>3.125万元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hAnsi="宋体" w:cs="宋体"/>
                <w:kern w:val="0"/>
                <w:sz w:val="24"/>
              </w:rPr>
              <w:t>其中</w:t>
            </w:r>
            <w:r>
              <w:rPr>
                <w:rFonts w:ascii="宋体" w:cs="宋体"/>
                <w:kern w:val="0"/>
                <w:sz w:val="24"/>
              </w:rPr>
              <w:t>-</w:t>
            </w:r>
            <w:r>
              <w:rPr>
                <w:rFonts w:hint="eastAsia" w:ascii="宋体" w:hAnsi="宋体" w:cs="宋体"/>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sz w:val="24"/>
              </w:rPr>
            </w:pPr>
            <w:r>
              <w:rPr>
                <w:rFonts w:hint="eastAsia" w:ascii="宋体" w:cs="宋体"/>
                <w:sz w:val="24"/>
              </w:rPr>
              <w:t>3.125万元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≥91人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≥91人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sz w:val="24"/>
              </w:rPr>
              <w:t>3.125</w:t>
            </w:r>
            <w:r>
              <w:rPr>
                <w:rFonts w:hint="eastAsia" w:asci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sz w:val="24"/>
              </w:rPr>
              <w:t>3.125</w:t>
            </w:r>
            <w:r>
              <w:rPr>
                <w:rFonts w:hint="eastAsia" w:ascii="宋体" w:cs="宋体"/>
                <w:color w:val="00000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学生营养餐及免作业本</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通江县铁溪镇什字小学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10.696万元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10.696万元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10.696万元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10.696万元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保障义务教育阶段学生营养餐及免费作业本支出。</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保障义务教育阶段学生营养餐及免费作业本支出。</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≥91人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≥91人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学生营养餐及免作业本使用率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学生营养餐减免作业成本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≥10.696万元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≥10.696万元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校舍维修资金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通江县铁溪镇什字小学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保障学生的基本学习及正常的生活秩序。</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保障学生的基本学习及正常的生活秩序。</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项目实施个数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校舍维修资金支出率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项目实施完成时间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校舍维修成本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实施企业及农民工增收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tbl>
      <w:tblPr>
        <w:tblStyle w:val="7"/>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扶贫</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通江县铁溪镇什字小学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下乡扶贫</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驻村扶贫人员办公费差旅费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帮扶对象增收率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驻村人员、帮扶对象幸福指数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帮扶对象的满意度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1年部门整体支出绩效评价情况开展自评，《通江县铁溪镇什字小学</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本部门自行组织对扶贫项目、义教家庭经济困难学生生活补助项目、学前教育资助项目、义教学生营养餐及免作业本费项目、校舍维修项目开展了绩效评价，《通江县铁溪镇什字小学项目</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4"/>
        </w:numPr>
        <w:spacing w:line="600" w:lineRule="exact"/>
        <w:ind w:firstLine="660" w:firstLineChars="150"/>
        <w:jc w:val="center"/>
        <w:outlineLvl w:val="0"/>
        <w:rPr>
          <w:rFonts w:ascii="宋体"/>
          <w:b/>
          <w:color w:val="000000"/>
          <w:sz w:val="44"/>
          <w:szCs w:val="44"/>
        </w:rPr>
      </w:pPr>
      <w:bookmarkStart w:id="74" w:name="_Toc15377225"/>
      <w:bookmarkStart w:id="75" w:name="_Toc15396613"/>
      <w:bookmarkStart w:id="76" w:name="_Toc22485"/>
      <w:r>
        <w:rPr>
          <w:rFonts w:hint="eastAsia" w:ascii="黑体" w:hAnsi="黑体" w:eastAsia="黑体"/>
          <w:color w:val="000000"/>
          <w:sz w:val="44"/>
          <w:szCs w:val="44"/>
        </w:rPr>
        <w:t>名</w:t>
      </w:r>
      <w:r>
        <w:rPr>
          <w:rStyle w:val="18"/>
          <w:rFonts w:hint="eastAsia" w:ascii="黑体" w:hAnsi="黑体" w:eastAsia="黑体"/>
          <w:b w:val="0"/>
        </w:rPr>
        <w:t>词解释</w:t>
      </w:r>
      <w:bookmarkEnd w:id="74"/>
      <w:bookmarkEnd w:id="75"/>
      <w:bookmarkEnd w:id="76"/>
    </w:p>
    <w:p>
      <w:pPr>
        <w:pStyle w:val="36"/>
        <w:spacing w:line="560" w:lineRule="exact"/>
        <w:ind w:firstLine="640" w:firstLineChars="200"/>
        <w:rPr>
          <w:rFonts w:ascii="仿宋_GB2312" w:eastAsia="仿宋_GB2312"/>
          <w:sz w:val="32"/>
          <w:szCs w:val="32"/>
        </w:rPr>
      </w:pPr>
    </w:p>
    <w:p>
      <w:pPr>
        <w:pStyle w:val="36"/>
        <w:spacing w:line="560" w:lineRule="exact"/>
        <w:ind w:firstLine="640" w:firstLineChars="200"/>
        <w:rPr>
          <w:rFonts w:ascii="仿宋_GB2312" w:eastAsia="仿宋_GB2312"/>
          <w:sz w:val="32"/>
          <w:szCs w:val="32"/>
        </w:rPr>
      </w:pPr>
      <w:r>
        <w:rPr>
          <w:rFonts w:ascii="仿宋_GB2312" w:eastAsia="仿宋_GB2312"/>
          <w:sz w:val="32"/>
          <w:szCs w:val="32"/>
          <w:u w:val="thick" w:color="FFB03A"/>
          <w:shd w:val="clear" w:fill="FFEFD8"/>
        </w:rPr>
        <w:t>1.</w:t>
      </w:r>
      <w:r>
        <w:rPr>
          <w:rFonts w:hint="eastAsia" w:ascii="仿宋_GB2312" w:eastAsia="仿宋_GB2312"/>
          <w:sz w:val="32"/>
          <w:szCs w:val="32"/>
        </w:rPr>
        <w:t>财政拨款收入：指单位从同级财政部门取得的财政预算资金。</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6"/>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6"/>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7" w:name="_Toc15396614"/>
      <w:bookmarkStart w:id="78" w:name="_Toc15377226"/>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outlineLvl w:val="0"/>
        <w:rPr>
          <w:rStyle w:val="18"/>
          <w:rFonts w:ascii="黑体" w:hAnsi="黑体" w:eastAsia="黑体"/>
          <w:b w:val="0"/>
        </w:rPr>
      </w:pPr>
      <w:bookmarkStart w:id="79" w:name="_Toc29631"/>
      <w:r>
        <w:rPr>
          <w:rFonts w:hint="eastAsia" w:ascii="黑体" w:hAnsi="黑体" w:eastAsia="黑体"/>
          <w:color w:val="000000"/>
          <w:sz w:val="44"/>
          <w:szCs w:val="44"/>
        </w:rPr>
        <w:t>第</w:t>
      </w:r>
      <w:r>
        <w:rPr>
          <w:rStyle w:val="18"/>
          <w:rFonts w:hint="eastAsia" w:ascii="黑体" w:hAnsi="黑体" w:eastAsia="黑体"/>
          <w:b w:val="0"/>
        </w:rPr>
        <w:t>四部分附件</w:t>
      </w:r>
      <w:bookmarkEnd w:id="77"/>
      <w:bookmarkEnd w:id="79"/>
    </w:p>
    <w:p>
      <w:pPr>
        <w:spacing w:line="600" w:lineRule="exact"/>
        <w:jc w:val="left"/>
        <w:rPr>
          <w:rFonts w:ascii="黑体" w:hAnsi="黑体" w:eastAsia="黑体" w:cs="黑体"/>
          <w:sz w:val="32"/>
          <w:szCs w:val="32"/>
        </w:rPr>
      </w:pPr>
    </w:p>
    <w:p>
      <w:pPr>
        <w:spacing w:line="600" w:lineRule="exact"/>
        <w:jc w:val="left"/>
        <w:outlineLvl w:val="0"/>
        <w:rPr>
          <w:rFonts w:ascii="方正小标宋简体" w:hAnsi="方正小标宋简体" w:eastAsia="方正小标宋简体" w:cs="方正小标宋简体"/>
          <w:sz w:val="32"/>
          <w:szCs w:val="32"/>
        </w:rPr>
      </w:pPr>
      <w:bookmarkStart w:id="80" w:name="_Toc24222"/>
      <w:r>
        <w:rPr>
          <w:rFonts w:hint="eastAsia" w:ascii="黑体" w:hAnsi="黑体" w:eastAsia="黑体" w:cs="黑体"/>
          <w:sz w:val="32"/>
          <w:szCs w:val="32"/>
        </w:rPr>
        <w:t>附件</w:t>
      </w:r>
      <w:r>
        <w:rPr>
          <w:rFonts w:ascii="黑体" w:hAnsi="黑体" w:eastAsia="黑体" w:cs="黑体"/>
          <w:sz w:val="32"/>
          <w:szCs w:val="32"/>
        </w:rPr>
        <w:t>1</w:t>
      </w:r>
      <w:bookmarkEnd w:id="80"/>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仿宋_GB2312" w:hAnsi="宋体" w:eastAsia="仿宋_GB2312"/>
          <w:sz w:val="32"/>
          <w:szCs w:val="32"/>
        </w:rPr>
      </w:pPr>
      <w:r>
        <w:rPr>
          <w:rFonts w:hint="eastAsia" w:ascii="方正小标宋简体" w:hAnsi="宋体" w:eastAsia="方正小标宋简体"/>
          <w:color w:val="000000"/>
          <w:kern w:val="0"/>
          <w:sz w:val="40"/>
          <w:szCs w:val="44"/>
        </w:rPr>
        <w:t>通江县铁溪镇什字小学</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rPr>
        <w:t>1年部门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（一）机构组成。</w:t>
      </w:r>
    </w:p>
    <w:p>
      <w:pPr>
        <w:adjustRightInd w:val="0"/>
        <w:snapToGrid w:val="0"/>
        <w:spacing w:line="560" w:lineRule="exact"/>
        <w:ind w:left="210" w:leftChars="100" w:firstLine="480" w:firstLineChars="15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通江县铁溪镇什字小学位于铁溪镇田坝街道，属全额拨款事业单位，预算级别为乡镇级。该校是一所六年制完全小学，共有编制</w:t>
      </w:r>
      <w:r>
        <w:rPr>
          <w:rFonts w:hint="eastAsia" w:ascii="仿宋_GB2312" w:hAnsi="宋体" w:eastAsia="仿宋_GB2312" w:cs="宋体"/>
          <w:color w:val="000000"/>
          <w:kern w:val="0"/>
          <w:sz w:val="32"/>
          <w:szCs w:val="32"/>
          <w:shd w:val="clear" w:color="auto" w:fill="FFFFFF"/>
        </w:rPr>
        <w:t>20</w:t>
      </w:r>
      <w:r>
        <w:rPr>
          <w:rFonts w:hint="eastAsia" w:ascii="仿宋_GB2312" w:hAnsi="宋体" w:eastAsia="仿宋_GB2312" w:cs="宋体"/>
          <w:color w:val="000000"/>
          <w:kern w:val="0"/>
          <w:sz w:val="32"/>
          <w:szCs w:val="32"/>
          <w:shd w:val="clear" w:color="auto" w:fill="FFFFFF"/>
          <w:lang w:val="zh-CN"/>
        </w:rPr>
        <w:t>个。</w:t>
      </w:r>
      <w:r>
        <w:rPr>
          <w:rFonts w:hint="eastAsia" w:ascii="仿宋_GB2312" w:hAnsi="仿宋_GB2312" w:eastAsia="仿宋_GB2312" w:cs="仿宋_GB2312"/>
          <w:sz w:val="32"/>
          <w:szCs w:val="32"/>
          <w:lang w:val="zh-CN"/>
        </w:rPr>
        <w:t>学</w:t>
      </w:r>
      <w:r>
        <w:rPr>
          <w:rFonts w:hint="eastAsia" w:ascii="仿宋_GB2312" w:hAnsi="仿宋_GB2312" w:eastAsia="仿宋_GB2312" w:cs="仿宋_GB2312"/>
          <w:color w:val="000000"/>
          <w:kern w:val="0"/>
          <w:sz w:val="32"/>
          <w:szCs w:val="32"/>
          <w:shd w:val="clear" w:color="auto" w:fill="FFFFFF"/>
          <w:lang w:val="zh-CN"/>
        </w:rPr>
        <w:t>校内设机构有办公室、教务处、安保处、信息中心、财务室等。</w:t>
      </w:r>
    </w:p>
    <w:p>
      <w:pPr>
        <w:widowControl/>
        <w:numPr>
          <w:numId w:val="0"/>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二</w:t>
      </w: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2.保障学校的正常教育教学、办公、生活秩序。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3.管好用好国家的教育资金，改善和优化农村办学条件。</w:t>
      </w:r>
    </w:p>
    <w:p>
      <w:pPr>
        <w:widowControl/>
        <w:adjustRightInd w:val="0"/>
        <w:snapToGrid w:val="0"/>
        <w:spacing w:line="580" w:lineRule="exact"/>
        <w:ind w:firstLine="640" w:firstLineChars="200"/>
        <w:contextualSpacing/>
        <w:jc w:val="left"/>
        <w:rPr>
          <w:rFonts w:ascii="宋体" w:hAnsi="宋体" w:cs="仿宋_GB2312"/>
          <w:sz w:val="32"/>
          <w:szCs w:val="32"/>
        </w:rPr>
      </w:pPr>
      <w:r>
        <w:rPr>
          <w:rFonts w:hint="eastAsia" w:ascii="仿宋_GB2312" w:hAnsi="宋体" w:eastAsia="仿宋_GB2312" w:cs="宋体"/>
          <w:color w:val="000000"/>
          <w:kern w:val="0"/>
          <w:sz w:val="32"/>
          <w:szCs w:val="32"/>
          <w:shd w:val="clear" w:color="auto" w:fill="FFFFFF"/>
          <w:lang w:val="zh-CN"/>
        </w:rPr>
        <w:t>4.把教育教学质量放在首位，提高教师从教幸福感，关注留守儿童健康成长，争做“四有”好老师。</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u w:val="none" w:color="FFB03A"/>
          <w:shd w:val="clear" w:color="auto" w:fill="FFFFFF"/>
          <w:lang w:val="zh-CN"/>
        </w:rPr>
        <w:t>（三）</w:t>
      </w:r>
      <w:r>
        <w:rPr>
          <w:rFonts w:hint="eastAsia" w:ascii="仿宋_GB2312" w:hAnsi="宋体" w:eastAsia="仿宋_GB2312" w:cs="宋体"/>
          <w:color w:val="000000"/>
          <w:kern w:val="0"/>
          <w:sz w:val="32"/>
          <w:szCs w:val="32"/>
          <w:shd w:val="clear" w:color="auto" w:fill="FFFFFF"/>
          <w:lang w:val="zh-CN"/>
        </w:rPr>
        <w:t>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通江县铁溪镇什字小学</w:t>
      </w:r>
      <w:r>
        <w:rPr>
          <w:rFonts w:hint="eastAsia" w:ascii="仿宋_GB2312" w:hAnsi="宋体" w:eastAsia="仿宋_GB2312" w:cs="宋体"/>
          <w:color w:val="000000"/>
          <w:kern w:val="0"/>
          <w:sz w:val="32"/>
          <w:szCs w:val="32"/>
          <w:shd w:val="clear" w:color="auto" w:fill="FFFFFF"/>
        </w:rPr>
        <w:t>2021</w:t>
      </w:r>
      <w:r>
        <w:rPr>
          <w:rFonts w:hint="eastAsia" w:ascii="仿宋_GB2312" w:hAnsi="宋体" w:eastAsia="仿宋_GB2312" w:cs="宋体"/>
          <w:color w:val="000000"/>
          <w:kern w:val="0"/>
          <w:sz w:val="32"/>
          <w:szCs w:val="32"/>
          <w:shd w:val="clear" w:color="auto" w:fill="FFFFFF"/>
          <w:lang w:val="zh-CN"/>
        </w:rPr>
        <w:t>年末我校共有编制人数</w:t>
      </w:r>
      <w:r>
        <w:rPr>
          <w:rFonts w:hint="eastAsia" w:ascii="仿宋_GB2312" w:hAnsi="宋体" w:eastAsia="仿宋_GB2312" w:cs="宋体"/>
          <w:color w:val="000000"/>
          <w:kern w:val="0"/>
          <w:sz w:val="32"/>
          <w:szCs w:val="32"/>
          <w:shd w:val="clear" w:color="auto" w:fill="FFFFFF"/>
        </w:rPr>
        <w:t>23</w:t>
      </w:r>
      <w:r>
        <w:rPr>
          <w:rFonts w:hint="eastAsia" w:ascii="仿宋_GB2312" w:hAnsi="宋体" w:eastAsia="仿宋_GB2312" w:cs="宋体"/>
          <w:color w:val="000000"/>
          <w:kern w:val="0"/>
          <w:sz w:val="32"/>
          <w:szCs w:val="32"/>
          <w:shd w:val="clear" w:color="auto" w:fill="FFFFFF"/>
          <w:lang w:val="zh-CN"/>
        </w:rPr>
        <w:t>人，遗属人员</w:t>
      </w:r>
      <w:r>
        <w:rPr>
          <w:rFonts w:hint="eastAsia"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lang w:val="zh-CN"/>
        </w:rPr>
        <w:t>人，退休人员</w:t>
      </w:r>
      <w:r>
        <w:rPr>
          <w:rFonts w:hint="eastAsia" w:ascii="仿宋_GB2312" w:hAnsi="宋体" w:eastAsia="仿宋_GB2312" w:cs="宋体"/>
          <w:color w:val="000000"/>
          <w:kern w:val="0"/>
          <w:sz w:val="32"/>
          <w:szCs w:val="32"/>
          <w:shd w:val="clear" w:color="auto" w:fill="FFFFFF"/>
        </w:rPr>
        <w:t>15</w:t>
      </w:r>
      <w:r>
        <w:rPr>
          <w:rFonts w:hint="eastAsia" w:ascii="仿宋_GB2312" w:hAnsi="宋体" w:eastAsia="仿宋_GB2312" w:cs="宋体"/>
          <w:color w:val="000000"/>
          <w:kern w:val="0"/>
          <w:sz w:val="32"/>
          <w:szCs w:val="32"/>
          <w:shd w:val="clear" w:color="auto" w:fill="FFFFFF"/>
          <w:lang w:val="zh-CN"/>
        </w:rPr>
        <w:t>人，学生人数</w:t>
      </w:r>
      <w:r>
        <w:rPr>
          <w:rFonts w:hint="eastAsia" w:ascii="仿宋_GB2312" w:hAnsi="宋体" w:eastAsia="仿宋_GB2312" w:cs="宋体"/>
          <w:color w:val="000000"/>
          <w:kern w:val="0"/>
          <w:sz w:val="32"/>
          <w:szCs w:val="32"/>
          <w:shd w:val="clear" w:color="auto" w:fill="FFFFFF"/>
        </w:rPr>
        <w:t>121</w:t>
      </w:r>
      <w:r>
        <w:rPr>
          <w:rFonts w:hint="eastAsia" w:ascii="仿宋_GB2312" w:hAnsi="宋体" w:eastAsia="仿宋_GB2312" w:cs="宋体"/>
          <w:color w:val="000000"/>
          <w:kern w:val="0"/>
          <w:sz w:val="32"/>
          <w:szCs w:val="32"/>
          <w:shd w:val="clear" w:color="auto" w:fill="FFFFFF"/>
          <w:lang w:val="zh-CN"/>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80" w:lineRule="exact"/>
        <w:ind w:firstLine="891"/>
        <w:rPr>
          <w:rFonts w:ascii="仿宋" w:hAnsi="仿宋" w:eastAsia="仿宋"/>
          <w:color w:val="000000"/>
          <w:sz w:val="32"/>
          <w:szCs w:val="32"/>
        </w:rPr>
      </w:pPr>
      <w:r>
        <w:rPr>
          <w:rFonts w:hint="eastAsia" w:ascii="仿宋" w:hAnsi="仿宋" w:eastAsia="仿宋"/>
          <w:color w:val="000000"/>
          <w:sz w:val="32"/>
          <w:szCs w:val="32"/>
        </w:rPr>
        <w:t>2021年本年收入合计324.01万元，其中：一般公共预算财政拨款收入324.01万元，占100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rPr>
          <w:rFonts w:ascii="仿宋" w:hAnsi="仿宋" w:eastAsia="仿宋" w:cs="仿宋_GB2312"/>
          <w:sz w:val="32"/>
          <w:szCs w:val="32"/>
        </w:rPr>
      </w:pPr>
      <w:r>
        <w:rPr>
          <w:rFonts w:hint="eastAsia" w:ascii="仿宋" w:hAnsi="仿宋" w:eastAsia="仿宋"/>
          <w:color w:val="000000"/>
          <w:sz w:val="32"/>
          <w:szCs w:val="32"/>
        </w:rPr>
        <w:t>　（二）</w:t>
      </w:r>
      <w:r>
        <w:rPr>
          <w:rFonts w:ascii="仿宋" w:hAnsi="仿宋" w:eastAsia="仿宋" w:cs="仿宋_GB2312"/>
          <w:sz w:val="32"/>
          <w:szCs w:val="32"/>
        </w:rPr>
        <w:t>部门财政资金支出情况。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 w:hAnsi="仿宋" w:eastAsia="仿宋"/>
          <w:color w:val="000000"/>
          <w:sz w:val="32"/>
          <w:szCs w:val="32"/>
        </w:rPr>
        <w:t>2021年本年支出合计324.01万元，其中：基本支出280.58万元，占86.6</w:t>
      </w:r>
      <w:r>
        <w:rPr>
          <w:rFonts w:ascii="仿宋" w:hAnsi="仿宋" w:eastAsia="仿宋"/>
          <w:color w:val="000000"/>
          <w:sz w:val="32"/>
          <w:szCs w:val="32"/>
        </w:rPr>
        <w:t>%</w:t>
      </w:r>
      <w:r>
        <w:rPr>
          <w:rFonts w:hint="eastAsia" w:ascii="仿宋" w:hAnsi="仿宋" w:eastAsia="仿宋"/>
          <w:color w:val="000000"/>
          <w:sz w:val="32"/>
          <w:szCs w:val="32"/>
        </w:rPr>
        <w:t>；项目支出43.43万元，占13.4</w:t>
      </w:r>
      <w:r>
        <w:rPr>
          <w:rFonts w:ascii="仿宋" w:hAnsi="仿宋" w:eastAsia="仿宋"/>
          <w:color w:val="000000"/>
          <w:sz w:val="32"/>
          <w:szCs w:val="32"/>
        </w:rPr>
        <w:t>%</w:t>
      </w:r>
      <w:r>
        <w:rPr>
          <w:rFonts w:hint="eastAsia" w:ascii="仿宋" w:hAnsi="仿宋" w:eastAsia="仿宋"/>
          <w:color w:val="00000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严格控制学校各项经费科学合理收支，实现预算资金高效利用。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保障学校正常运行，实现毛浴镇社会和谐稳定。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提升学校工作服务水平，提高社会满意度。</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u w:val="thick" w:color="909090"/>
          <w:shd w:val="clear" w:fill="DDDDDD"/>
        </w:rPr>
        <w:t>4</w:t>
      </w:r>
      <w:r>
        <w:rPr>
          <w:rFonts w:hint="eastAsia" w:ascii="仿宋" w:hAnsi="仿宋" w:eastAsia="仿宋" w:cs="仿宋_GB2312"/>
          <w:sz w:val="32"/>
          <w:szCs w:val="32"/>
          <w:u w:val="thick" w:color="909090"/>
          <w:shd w:val="clear" w:fill="DDDDDD"/>
          <w:lang w:eastAsia="zh-CN"/>
        </w:rPr>
        <w:t>.</w:t>
      </w:r>
      <w:r>
        <w:rPr>
          <w:rFonts w:hint="eastAsia" w:ascii="仿宋" w:hAnsi="仿宋" w:eastAsia="仿宋" w:cs="仿宋_GB2312"/>
          <w:sz w:val="32"/>
          <w:szCs w:val="32"/>
          <w:u w:val="thick" w:color="909090"/>
          <w:shd w:val="clear" w:fill="DDDDDD"/>
        </w:rPr>
        <w:t>按照政府采购程序管理相关规定，完善毛浴镇政府采购流程。</w:t>
      </w:r>
    </w:p>
    <w:p>
      <w:pPr>
        <w:spacing w:line="580" w:lineRule="exact"/>
        <w:ind w:firstLine="640" w:firstLineChars="200"/>
        <w:rPr>
          <w:rFonts w:ascii="仿宋_GB2312" w:hAnsi="宋体" w:eastAsia="仿宋_GB2312" w:cs="宋体"/>
          <w:color w:val="000000"/>
          <w:kern w:val="0"/>
          <w:sz w:val="32"/>
          <w:szCs w:val="32"/>
          <w:lang w:val="zh-CN"/>
        </w:rPr>
      </w:pPr>
      <w:r>
        <w:rPr>
          <w:rFonts w:hint="eastAsia" w:ascii="仿宋" w:hAnsi="仿宋" w:eastAsia="仿宋" w:cs="仿宋_GB2312"/>
          <w:sz w:val="32"/>
          <w:szCs w:val="32"/>
        </w:rPr>
        <w:t>截至2021年12月31日，</w:t>
      </w:r>
      <w:r>
        <w:rPr>
          <w:rFonts w:ascii="仿宋" w:hAnsi="仿宋" w:eastAsia="仿宋" w:cs="仿宋_GB2312"/>
          <w:sz w:val="32"/>
          <w:szCs w:val="32"/>
        </w:rPr>
        <w:t>目标完成</w:t>
      </w:r>
      <w:r>
        <w:rPr>
          <w:rFonts w:hint="eastAsia" w:ascii="仿宋" w:hAnsi="仿宋" w:eastAsia="仿宋" w:cs="仿宋_GB2312"/>
          <w:sz w:val="32"/>
          <w:szCs w:val="32"/>
        </w:rPr>
        <w:t>率100%，</w:t>
      </w:r>
      <w:r>
        <w:rPr>
          <w:rFonts w:ascii="仿宋" w:hAnsi="仿宋" w:eastAsia="仿宋" w:cs="仿宋_GB2312"/>
          <w:sz w:val="32"/>
          <w:szCs w:val="32"/>
        </w:rPr>
        <w:t>预算</w:t>
      </w:r>
      <w:r>
        <w:rPr>
          <w:rFonts w:hint="eastAsia" w:ascii="仿宋" w:hAnsi="仿宋" w:eastAsia="仿宋" w:cs="仿宋_GB2312"/>
          <w:sz w:val="32"/>
          <w:szCs w:val="32"/>
        </w:rPr>
        <w:t>执行进度与预算目标进度一致，基本上按时按质完成预算目标。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ascii="仿宋" w:hAnsi="仿宋" w:eastAsia="仿宋_GB2312" w:cs="仿宋_GB2312"/>
          <w:sz w:val="32"/>
          <w:szCs w:val="32"/>
        </w:rPr>
      </w:pPr>
      <w:r>
        <w:rPr>
          <w:rFonts w:hint="eastAsia" w:ascii="仿宋_GB2312" w:hAnsi="仿宋_GB2312" w:eastAsia="仿宋_GB2312" w:cs="仿宋_GB2312"/>
          <w:sz w:val="32"/>
          <w:szCs w:val="32"/>
        </w:rPr>
        <w:t>部门自评质量良好、已按照相关规定进行绩效目标公开和自评公开、评价结果整改和应用结果反馈等情况，社会满意度高。</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ascii="仿宋" w:hAnsi="仿宋" w:eastAsia="仿宋" w:cs="仿宋_GB2312"/>
          <w:sz w:val="32"/>
          <w:szCs w:val="32"/>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 w:hAnsi="仿宋" w:eastAsia="仿宋" w:cs="仿宋_GB2312"/>
          <w:sz w:val="32"/>
          <w:szCs w:val="32"/>
        </w:rPr>
        <w:t>通过对什字小学整体支出绩效评价，截至2021年12月31日，基本完成年初预设目标，预算执行进度与预算目标进度一致，基本上按时按质完成预算目标。</w:t>
      </w:r>
    </w:p>
    <w:p>
      <w:pPr>
        <w:numPr>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eastAsia="zh-CN"/>
        </w:rPr>
        <w:t>）</w:t>
      </w:r>
      <w:r>
        <w:rPr>
          <w:rFonts w:ascii="仿宋" w:hAnsi="仿宋" w:eastAsia="仿宋" w:cs="仿宋_GB2312"/>
          <w:sz w:val="32"/>
          <w:szCs w:val="32"/>
        </w:rPr>
        <w:t>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1.项目绩效目标与指标不完整。绩效指标较少，不能完全衡量条件建设经费项目的完成情况，绩效指标未涵盖所有工作事项，绩效标准表述不够准确，整体逻辑关系不够清晰。</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2.资金投入较小。项目建设是一项长期建设任务，投入资金有限。在一个时间范围内，完成一个整体的建设项目非常困难。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3.资金监控机制有待进一步加强。在执行过程中，未对项目资金使用及项目完成情况进行有效的监督，导致执行滞后的问题。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u w:val="none" w:color="FFB03A"/>
          <w:shd w:val="clear" w:fill="auto"/>
        </w:rPr>
        <w:t>（三）</w:t>
      </w:r>
      <w:r>
        <w:rPr>
          <w:rFonts w:ascii="仿宋" w:hAnsi="仿宋" w:eastAsia="仿宋" w:cs="仿宋_GB2312"/>
          <w:sz w:val="32"/>
          <w:szCs w:val="32"/>
        </w:rPr>
        <w:t>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1.进一步加大资金投入力度。建议进一步加大项目资金的投入力度，有效改善办学条件，按照要求尽早完成项目建设。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2.进一步完善项目绩效目标及绩效指标。</w:t>
      </w:r>
      <w:r>
        <w:rPr>
          <w:rFonts w:hint="eastAsia" w:ascii="仿宋_GB2312" w:hAnsi="仿宋_GB2312" w:eastAsia="仿宋_GB2312" w:cs="仿宋_GB2312"/>
          <w:sz w:val="32"/>
          <w:szCs w:val="32"/>
          <w:u w:val="none" w:color="46CD7E"/>
          <w:shd w:val="clear" w:fill="auto"/>
          <w:lang w:eastAsia="zh-CN"/>
        </w:rPr>
        <w:t>加强与</w:t>
      </w:r>
      <w:r>
        <w:rPr>
          <w:rFonts w:hint="eastAsia" w:ascii="仿宋_GB2312" w:hAnsi="仿宋_GB2312" w:eastAsia="仿宋_GB2312" w:cs="仿宋_GB2312"/>
          <w:sz w:val="32"/>
          <w:szCs w:val="32"/>
        </w:rPr>
        <w:t>各执行部门的沟通，建立事权、财权、责任匹配制度，在绩效目标的设定方面，绩效目标有待准确化，使项目目标</w:t>
      </w:r>
      <w:r>
        <w:rPr>
          <w:rFonts w:hint="eastAsia" w:ascii="仿宋_GB2312" w:hAnsi="仿宋_GB2312" w:eastAsia="仿宋_GB2312" w:cs="仿宋_GB2312"/>
          <w:sz w:val="32"/>
          <w:szCs w:val="32"/>
          <w:u w:val="none" w:color="46CD7E"/>
          <w:shd w:val="clear" w:fill="auto"/>
          <w:lang w:eastAsia="zh-CN"/>
        </w:rPr>
        <w:t>更加</w:t>
      </w:r>
      <w:r>
        <w:rPr>
          <w:rFonts w:hint="eastAsia" w:ascii="仿宋_GB2312" w:hAnsi="仿宋_GB2312" w:eastAsia="仿宋_GB2312" w:cs="仿宋_GB2312"/>
          <w:sz w:val="32"/>
          <w:szCs w:val="32"/>
        </w:rPr>
        <w:t>简洁，更加明晰。项目绩效指标需结合项目明细具体设置，尽可能全面、客观的反映项目产出及效果。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3.提高项目资金使用率。实时监控预算完成情况，对项目资金执行情况及项目进度进行通报，对执行进度滞后的情况，要求加快执行，确保项目能按计划执行。同时明确监管层次，对项目的时间</w:t>
      </w:r>
      <w:r>
        <w:rPr>
          <w:rFonts w:hint="eastAsia" w:ascii="仿宋_GB2312" w:hAnsi="仿宋_GB2312" w:eastAsia="仿宋_GB2312" w:cs="仿宋_GB2312"/>
          <w:sz w:val="32"/>
          <w:szCs w:val="32"/>
          <w:u w:val="none" w:color="46CD7E"/>
          <w:shd w:val="clear" w:fill="auto"/>
          <w:lang w:eastAsia="zh-CN"/>
        </w:rPr>
        <w:t>节点进行</w:t>
      </w:r>
      <w:r>
        <w:rPr>
          <w:rFonts w:hint="eastAsia" w:ascii="仿宋_GB2312" w:hAnsi="仿宋_GB2312" w:eastAsia="仿宋_GB2312" w:cs="仿宋_GB2312"/>
          <w:sz w:val="32"/>
          <w:szCs w:val="32"/>
        </w:rPr>
        <w:t>控制，进一步提高内部控制意识，明确责任主体。</w:t>
      </w: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rPr>
          <w:rFonts w:ascii="仿宋_GB2312" w:hAnsi="宋体" w:eastAsia="仿宋_GB2312"/>
          <w:color w:val="FF0000"/>
          <w:sz w:val="32"/>
          <w:szCs w:val="32"/>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通江县铁溪镇什字小学</w:t>
      </w:r>
    </w:p>
    <w:p>
      <w:pPr>
        <w:spacing w:line="60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年度学前教育资助绩效评价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33"/>
        <w:spacing w:line="240" w:lineRule="auto"/>
        <w:rPr>
          <w:rFonts w:ascii="仿宋_GB2312" w:hAnsi="仿宋_GB2312" w:eastAsia="仿宋_GB2312"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w:t>
      </w:r>
      <w:r>
        <w:rPr>
          <w:rFonts w:hint="eastAsia" w:ascii="仿宋_GB2312" w:hAnsi="仿宋_GB2312" w:eastAsia="仿宋_GB2312" w:cs="仿宋_GB2312"/>
          <w:sz w:val="32"/>
          <w:szCs w:val="32"/>
        </w:rPr>
        <w:t>开展2021年度预算绩效自评全面实施预算的通知通财绩</w:t>
      </w:r>
      <w:r>
        <w:rPr>
          <w:rFonts w:hint="eastAsia" w:ascii="仿宋_GB2312" w:eastAsia="仿宋_GB2312"/>
          <w:sz w:val="36"/>
          <w:szCs w:val="36"/>
        </w:rPr>
        <w:t>〔2022〕</w:t>
      </w:r>
      <w:r>
        <w:rPr>
          <w:rFonts w:hint="eastAsia" w:ascii="仿宋_GB2312" w:hAnsi="仿宋_GB2312" w:eastAsia="仿宋_GB2312" w:cs="仿宋_GB2312"/>
          <w:sz w:val="32"/>
          <w:szCs w:val="32"/>
        </w:rPr>
        <w:t>13号文件精神</w:t>
      </w:r>
      <w:r>
        <w:rPr>
          <w:rFonts w:hint="eastAsia" w:ascii="仿宋_GB2312" w:hAnsi="仿宋_GB2312" w:eastAsia="仿宋_GB2312" w:cs="仿宋_GB2312"/>
          <w:color w:val="auto"/>
          <w:kern w:val="2"/>
          <w:sz w:val="32"/>
          <w:szCs w:val="32"/>
        </w:rPr>
        <w:t>，我校进行了自查自评，现将绩效自查情况报告如下：</w:t>
      </w:r>
    </w:p>
    <w:p>
      <w:pPr>
        <w:numPr>
          <w:numId w:val="0"/>
        </w:numPr>
        <w:adjustRightInd w:val="0"/>
        <w:snapToGrid w:val="0"/>
        <w:spacing w:line="560" w:lineRule="exact"/>
        <w:ind w:firstLine="640" w:firstLineChars="200"/>
        <w:rPr>
          <w:rFonts w:ascii="宋体" w:hAnsi="宋体" w:cs="仿宋_GB2312"/>
          <w:b/>
          <w:sz w:val="32"/>
          <w:szCs w:val="32"/>
        </w:rPr>
      </w:pPr>
      <w:bookmarkStart w:id="113" w:name="_GoBack"/>
      <w:bookmarkEnd w:id="113"/>
      <w:r>
        <w:rPr>
          <w:rFonts w:hint="eastAsia" w:ascii="黑体" w:hAnsi="宋体" w:eastAsia="黑体"/>
          <w:sz w:val="32"/>
          <w:szCs w:val="32"/>
          <w:lang w:val="en-US" w:eastAsia="zh-CN"/>
        </w:rPr>
        <w:t>一、</w:t>
      </w:r>
      <w:r>
        <w:rPr>
          <w:rFonts w:hint="eastAsia" w:ascii="黑体" w:hAnsi="宋体" w:eastAsia="黑体"/>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什字小学属全额拨款事业单位，预算级别为乡镇级。年末我校共有编制人数23人，遗属人员1人，退休人员15人，学生人数121人。2021年决算总支出324.01万元，其中学前教育资助项目支出2.81万元，我校已于2021年完成了项目绩效目标。</w:t>
      </w:r>
    </w:p>
    <w:p>
      <w:pPr>
        <w:adjustRightInd w:val="0"/>
        <w:snapToGrid w:val="0"/>
        <w:spacing w:line="560" w:lineRule="exact"/>
        <w:ind w:firstLine="720"/>
        <w:rPr>
          <w:rFonts w:ascii="黑体" w:hAnsi="黑体" w:eastAsia="黑体" w:cs="黑体"/>
          <w:color w:val="FF0000"/>
          <w:sz w:val="32"/>
          <w:szCs w:val="32"/>
        </w:rPr>
      </w:pPr>
      <w:r>
        <w:rPr>
          <w:rFonts w:hint="eastAsia" w:ascii="黑体" w:hAnsi="黑体" w:eastAsia="黑体" w:cs="黑体"/>
          <w:b/>
          <w:sz w:val="32"/>
          <w:szCs w:val="32"/>
          <w:u w:val="thick" w:color="FFB03A"/>
          <w:shd w:val="clear" w:fill="FFEFD8"/>
          <w:lang w:val="en-US" w:eastAsia="zh-CN"/>
        </w:rPr>
        <w:t>二</w:t>
      </w:r>
      <w:r>
        <w:rPr>
          <w:rFonts w:hint="eastAsia" w:ascii="黑体" w:hAnsi="黑体" w:eastAsia="黑体" w:cs="黑体"/>
          <w:b/>
          <w:sz w:val="32"/>
          <w:szCs w:val="32"/>
          <w:u w:val="thick" w:color="FFB03A"/>
          <w:shd w:val="clear" w:fill="FFEFD8"/>
        </w:rPr>
        <w:t>、</w:t>
      </w:r>
      <w:r>
        <w:rPr>
          <w:rFonts w:hint="eastAsia" w:ascii="黑体" w:hAnsi="黑体" w:eastAsia="黑体" w:cs="黑体"/>
          <w:sz w:val="32"/>
          <w:szCs w:val="32"/>
        </w:rPr>
        <w:t>资金使用情况</w:t>
      </w:r>
    </w:p>
    <w:p>
      <w:pPr>
        <w:adjustRightInd w:val="0"/>
        <w:snapToGrid w:val="0"/>
        <w:spacing w:line="560" w:lineRule="exact"/>
        <w:ind w:firstLine="720"/>
        <w:rPr>
          <w:rFonts w:ascii="楷体_GB2312" w:hAnsi="楷体_GB2312" w:eastAsia="楷体_GB2312" w:cs="楷体_GB2312"/>
          <w:b/>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截止评价时资金的实际支出为2.81万元，用于学校全部用于幼儿园学前教育资助支出，支出依据合规合法，资金支付与预算相符。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640" w:firstLineChars="200"/>
        <w:rPr>
          <w:rFonts w:ascii="宋体" w:hAnsi="宋体" w:cs="仿宋_GB2312"/>
          <w:sz w:val="32"/>
          <w:szCs w:val="32"/>
        </w:rPr>
      </w:pPr>
      <w:r>
        <w:rPr>
          <w:rFonts w:hint="eastAsia" w:ascii="仿宋_GB2312" w:hAnsi="仿宋_GB2312" w:eastAsia="仿宋_GB2312" w:cs="仿宋_GB2312"/>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黑体" w:hAnsi="黑体" w:eastAsia="黑体" w:cs="黑体"/>
          <w:b/>
          <w:sz w:val="32"/>
          <w:szCs w:val="32"/>
          <w:u w:val="none" w:color="FFB03A"/>
          <w:shd w:val="clear" w:fill="auto"/>
        </w:rPr>
        <w:t>三、</w:t>
      </w:r>
      <w:r>
        <w:rPr>
          <w:rFonts w:hint="eastAsia" w:ascii="黑体" w:hAnsi="黑体" w:eastAsia="黑体" w:cs="黑体"/>
          <w:sz w:val="32"/>
          <w:szCs w:val="32"/>
        </w:rPr>
        <w:t>目标完成情况</w:t>
      </w:r>
      <w:r>
        <w:rPr>
          <w:rFonts w:hint="eastAsia" w:ascii="仿宋_GB2312" w:hAnsi="仿宋" w:eastAsia="仿宋_GB2312"/>
          <w:sz w:val="30"/>
          <w:szCs w:val="30"/>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学前教育资金完成了学期目标任务，达到了相关要求，学校工作取得了较好成效。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 w:eastAsia="仿宋_GB2312"/>
          <w:sz w:val="30"/>
          <w:szCs w:val="30"/>
        </w:rPr>
      </w:pPr>
      <w:r>
        <w:rPr>
          <w:rFonts w:hint="eastAsia" w:ascii="仿宋_GB2312" w:hAnsi="仿宋_GB2312" w:eastAsia="仿宋_GB2312" w:cs="仿宋_GB2312"/>
          <w:sz w:val="32"/>
          <w:szCs w:val="32"/>
        </w:rPr>
        <w:t>对照预定计划，学前教育资金完成了目标任务。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通江县铁溪镇什字小学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年度家庭经济困难学生生活补助绩效评价报告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6"/>
          <w:szCs w:val="36"/>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什字小学属全额拨款事业单位，预算级别为乡镇级。年末我校共有编制人数23人，遗属人员1人，退休人员15人，学生人数121人。2021年决算总支出324.01万元，其中家庭经济困难学生生活补助支出3.125万元，我校已于2021年完成，完成了家庭经济困难学生生活补助绩效目标。</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截止评价时资金的实际支出为3.125万元，用于学校家庭经济困难学生生活补助发放，支出依据合规合法，资金支付与预算相符。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四、目标完成情况</w:t>
      </w:r>
      <w:r>
        <w:rPr>
          <w:rFonts w:hint="eastAsia" w:ascii="黑体" w:hAnsi="黑体" w:eastAsia="黑体" w:cs="黑体"/>
          <w:b/>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ind w:firstLine="720"/>
        <w:rPr>
          <w:rFonts w:ascii="黑体" w:hAnsi="黑体" w:eastAsia="黑体" w:cs="黑体"/>
          <w:sz w:val="32"/>
          <w:szCs w:val="32"/>
        </w:rPr>
      </w:pPr>
      <w:r>
        <w:rPr>
          <w:rFonts w:hint="eastAsia" w:ascii="黑体" w:hAnsi="黑体" w:eastAsia="黑体" w:cs="黑体"/>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黑体" w:hAnsi="黑体" w:eastAsia="黑体" w:cs="黑体"/>
          <w:b/>
          <w:sz w:val="32"/>
          <w:szCs w:val="32"/>
        </w:rPr>
      </w:pPr>
      <w:r>
        <w:rPr>
          <w:rFonts w:hint="eastAsia" w:ascii="黑体" w:hAnsi="黑体" w:eastAsia="黑体" w:cs="黑体"/>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18"/>
          <w:rFonts w:ascii="黑体" w:hAnsi="黑体" w:eastAsia="黑体"/>
          <w:b w:val="0"/>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通江县铁溪镇什字小学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年度营养餐资金绩效评价报告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w:t>
      </w:r>
      <w:r>
        <w:rPr>
          <w:rFonts w:hint="eastAsia" w:ascii="仿宋_GB2312" w:hAnsi="仿宋_GB2312" w:eastAsia="仿宋_GB2312" w:cs="仿宋_GB2312"/>
          <w:sz w:val="32"/>
          <w:szCs w:val="32"/>
        </w:rPr>
        <w:t>开展2021年度预算绩效自评全面实施预算的通知通财绩</w:t>
      </w:r>
      <w:r>
        <w:rPr>
          <w:rFonts w:hint="eastAsia" w:ascii="仿宋_GB2312" w:eastAsia="仿宋_GB2312"/>
          <w:sz w:val="36"/>
          <w:szCs w:val="36"/>
        </w:rPr>
        <w:t>〔2022〕</w:t>
      </w:r>
      <w:r>
        <w:rPr>
          <w:rFonts w:hint="eastAsia" w:ascii="仿宋_GB2312" w:hAnsi="仿宋_GB2312" w:eastAsia="仿宋_GB2312" w:cs="仿宋_GB2312"/>
          <w:sz w:val="32"/>
          <w:szCs w:val="32"/>
        </w:rPr>
        <w:t>13号文件精神</w:t>
      </w:r>
      <w:r>
        <w:rPr>
          <w:rFonts w:hint="eastAsia" w:ascii="仿宋_GB2312" w:hAnsi="仿宋_GB2312" w:eastAsia="仿宋_GB2312" w:cs="仿宋_GB2312"/>
          <w:color w:val="auto"/>
          <w:kern w:val="2"/>
          <w:sz w:val="32"/>
          <w:szCs w:val="32"/>
        </w:rPr>
        <w:t>，我校进行了自查自评，现将绩效自查情况报告如下：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什字小学属全额拨款事业单位，预算级别为乡镇级。年末我校共有编制人数23人，遗属人员1人，退休人员15人，学生人数121人。2021年决算总支出324.01万元，其中营养餐项目支出10.696万元，我校已于2021年完成了项目绩效目标。</w:t>
      </w:r>
    </w:p>
    <w:p>
      <w:pPr>
        <w:adjustRightInd w:val="0"/>
        <w:snapToGrid w:val="0"/>
        <w:spacing w:line="560" w:lineRule="exact"/>
        <w:ind w:firstLine="720"/>
        <w:rPr>
          <w:rFonts w:ascii="黑体" w:hAnsi="黑体" w:eastAsia="黑体" w:cs="黑体"/>
          <w:b/>
          <w:sz w:val="32"/>
          <w:szCs w:val="32"/>
        </w:rPr>
      </w:pPr>
      <w:r>
        <w:rPr>
          <w:rFonts w:hint="eastAsia" w:ascii="黑体" w:hAnsi="黑体" w:eastAsia="黑体" w:cs="黑体"/>
          <w:b/>
          <w:sz w:val="32"/>
          <w:szCs w:val="32"/>
        </w:rPr>
        <w:t>二、资金使用情况</w:t>
      </w:r>
    </w:p>
    <w:p>
      <w:pPr>
        <w:adjustRightInd w:val="0"/>
        <w:snapToGrid w:val="0"/>
        <w:spacing w:line="560" w:lineRule="exact"/>
        <w:ind w:firstLine="720"/>
        <w:rPr>
          <w:rFonts w:ascii="楷体_GB2312" w:hAnsi="楷体_GB2312" w:eastAsia="楷体_GB2312" w:cs="楷体_GB2312"/>
          <w:b/>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截止评价时资金的实际支出为10.696万元，全部用于义务教育阶段学生营养改善计划的补助支出和学生的作业本发放，支出依据合规合法，资金支付与预算相符。</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w:t>
      </w:r>
      <w:bookmarkStart w:id="81" w:name="_Hlk72237175"/>
      <w:r>
        <w:rPr>
          <w:rFonts w:hint="eastAsia" w:ascii="仿宋_GB2312" w:hAnsi="仿宋_GB2312" w:eastAsia="仿宋_GB2312" w:cs="仿宋_GB2312"/>
          <w:sz w:val="32"/>
          <w:szCs w:val="32"/>
        </w:rPr>
        <w:t>及免作业本费</w:t>
      </w:r>
      <w:bookmarkEnd w:id="81"/>
      <w:r>
        <w:rPr>
          <w:rFonts w:hint="eastAsia" w:ascii="仿宋_GB2312" w:hAnsi="仿宋_GB2312" w:eastAsia="仿宋_GB2312" w:cs="仿宋_GB2312"/>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w:t>
      </w:r>
      <w:bookmarkStart w:id="82" w:name="_Hlk72240906"/>
      <w:r>
        <w:rPr>
          <w:rFonts w:hint="eastAsia" w:ascii="仿宋_GB2312" w:hAnsi="仿宋_GB2312" w:eastAsia="仿宋_GB2312" w:cs="仿宋_GB2312"/>
          <w:sz w:val="32"/>
          <w:szCs w:val="32"/>
        </w:rPr>
        <w:t>领导小组</w:t>
      </w:r>
      <w:bookmarkEnd w:id="82"/>
      <w:r>
        <w:rPr>
          <w:rFonts w:hint="eastAsia" w:ascii="仿宋_GB2312" w:hAnsi="仿宋_GB2312" w:eastAsia="仿宋_GB2312" w:cs="仿宋_GB2312"/>
          <w:sz w:val="32"/>
          <w:szCs w:val="32"/>
        </w:rPr>
        <w:t>及学校资助工作领导小组，由学校工会监督执行，严格按照上级文件和相关制度执行。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三、目标完成情况</w:t>
      </w:r>
      <w:r>
        <w:rPr>
          <w:rFonts w:hint="eastAsia" w:ascii="仿宋_GB2312" w:hAnsi="仿宋_GB2312" w:eastAsia="仿宋_GB2312" w:cs="仿宋_GB2312"/>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营养餐资金及免作业本费完成了学期目标任务，达到了相关要求，学校工作取得了较好成效。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对照预定计划，营养餐资金及免作业本费完成了目标任务。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widowControl/>
        <w:jc w:val="left"/>
        <w:rPr>
          <w:rStyle w:val="18"/>
          <w:rFonts w:ascii="仿宋_GB2312" w:hAnsi="仿宋_GB2312" w:eastAsia="仿宋_GB2312" w:cs="仿宋_GB2312"/>
          <w:b w:val="0"/>
          <w:sz w:val="32"/>
          <w:szCs w:val="32"/>
        </w:rPr>
      </w:pPr>
    </w:p>
    <w:p>
      <w:pPr>
        <w:spacing w:line="600" w:lineRule="exact"/>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通江县铁溪镇什字小学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年度义务教育校舍维修绩效评价报告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6"/>
          <w:szCs w:val="36"/>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什字小学属全额拨款事业单位，预算级别为乡镇级。年末我校共有编制人数23人，遗属人员1人，退休人员15人，学生人数121人。2021年决算总支出324.01万元，其中校舍维修补助支出26万元，我校已于2021年完成，完成了校舍维修绩效目标。</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u w:val="thick" w:color="FFB03A"/>
          <w:shd w:val="clear" w:fill="FFEFD8"/>
        </w:rPr>
        <w:t>1.</w:t>
      </w:r>
      <w:r>
        <w:rPr>
          <w:rFonts w:hint="eastAsia" w:ascii="仿宋_GB2312" w:hAnsi="仿宋_GB2312" w:eastAsia="仿宋_GB2312" w:cs="仿宋_GB2312"/>
          <w:sz w:val="32"/>
          <w:szCs w:val="32"/>
        </w:rPr>
        <w:t>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截止评价时资金的实际支出为26万元，用于学校校舍维修补助支出，支出依据合规合法，资金支付与预算相符。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校舍维修补助日常管理工作均按照我校相关管理制度执行，建立了工作有计划、实施有方案、日常有监督的管理机制，工作取得了较好的成效，效能得到了提高，获得了社会各界的好评，学校成立了基建工作领导小组，由学校工会监督并严格执行。</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四、目标完成情况</w:t>
      </w:r>
      <w:r>
        <w:rPr>
          <w:rFonts w:hint="eastAsia" w:ascii="仿宋_GB2312" w:hAnsi="仿宋_GB2312" w:eastAsia="仿宋_GB2312" w:cs="仿宋_GB2312"/>
          <w:b/>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bookmarkStart w:id="83" w:name="_Hlk72240770"/>
      <w:r>
        <w:rPr>
          <w:rFonts w:hint="eastAsia" w:ascii="仿宋_GB2312" w:hAnsi="仿宋_GB2312" w:eastAsia="仿宋_GB2312" w:cs="仿宋_GB2312"/>
          <w:sz w:val="32"/>
          <w:szCs w:val="32"/>
        </w:rPr>
        <w:t>校舍维修补助</w:t>
      </w:r>
      <w:bookmarkEnd w:id="83"/>
      <w:r>
        <w:rPr>
          <w:rFonts w:hint="eastAsia" w:ascii="仿宋_GB2312" w:hAnsi="仿宋_GB2312" w:eastAsia="仿宋_GB2312" w:cs="仿宋_GB2312"/>
          <w:sz w:val="32"/>
          <w:szCs w:val="32"/>
        </w:rPr>
        <w:t>支出完成了学期目标任务，达到了相关要求，学校工作取得了较好成效。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对照预定计划，校舍维修补助支出完成了目标任务。</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18"/>
          <w:rFonts w:ascii="仿宋_GB2312" w:hAnsi="仿宋_GB2312" w:eastAsia="仿宋_GB2312" w:cs="仿宋_GB2312"/>
          <w:b w:val="0"/>
          <w:sz w:val="32"/>
          <w:szCs w:val="32"/>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通江县铁溪镇什字小学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年度扶贫支出绩效评价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6"/>
          <w:szCs w:val="36"/>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pStyle w:val="33"/>
        <w:spacing w:line="240" w:lineRule="auto"/>
        <w:ind w:firstLine="640" w:firstLineChars="200"/>
        <w:rPr>
          <w:rFonts w:ascii="黑体" w:hAnsi="黑体" w:eastAsia="黑体" w:cs="黑体"/>
          <w:b/>
          <w:sz w:val="32"/>
          <w:szCs w:val="32"/>
        </w:rPr>
      </w:pPr>
      <w:r>
        <w:rPr>
          <w:rFonts w:hint="eastAsia" w:ascii="黑体" w:hAnsi="黑体" w:eastAsia="黑体" w:cs="黑体"/>
          <w:color w:val="auto"/>
          <w:kern w:val="2"/>
          <w:sz w:val="32"/>
          <w:szCs w:val="32"/>
        </w:rPr>
        <w:t>一、</w:t>
      </w:r>
      <w:r>
        <w:rPr>
          <w:rFonts w:hint="eastAsia" w:ascii="黑体" w:hAnsi="黑体" w:eastAsia="黑体" w:cs="黑体"/>
          <w:b/>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什字小学属全额拨款事业单位，预算级别为乡镇级。年末我校共有编制人数23人，遗属人员1人，退休人员15人，学生人数121人。2021年决算总支出324.01元，其中扶贫项目支出0.5万元，我校已于2021年完成了扶贫项目绩效目标。</w:t>
      </w:r>
    </w:p>
    <w:p>
      <w:pPr>
        <w:pStyle w:val="33"/>
        <w:spacing w:line="240" w:lineRule="auto"/>
        <w:ind w:firstLine="640" w:firstLineChars="200"/>
        <w:rPr>
          <w:rFonts w:ascii="黑体" w:hAnsi="黑体" w:eastAsia="黑体" w:cs="黑体"/>
          <w:color w:val="auto"/>
          <w:kern w:val="2"/>
          <w:sz w:val="32"/>
          <w:szCs w:val="32"/>
        </w:rPr>
      </w:pPr>
      <w:r>
        <w:rPr>
          <w:rFonts w:hint="eastAsia" w:ascii="黑体" w:hAnsi="黑体" w:eastAsia="黑体" w:cs="黑体"/>
          <w:color w:val="auto"/>
          <w:kern w:val="2"/>
          <w:sz w:val="32"/>
          <w:szCs w:val="32"/>
        </w:rPr>
        <w:t>二、资金使用情况</w:t>
      </w:r>
    </w:p>
    <w:p>
      <w:pPr>
        <w:pStyle w:val="33"/>
        <w:spacing w:line="240" w:lineRule="auto"/>
        <w:ind w:firstLine="640" w:firstLineChars="200"/>
        <w:rPr>
          <w:rFonts w:ascii="楷体_GB2312" w:hAnsi="楷体_GB2312" w:eastAsia="楷体_GB2312" w:cs="楷体_GB2312"/>
          <w:color w:val="auto"/>
          <w:kern w:val="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color w:val="auto"/>
          <w:kern w:val="2"/>
          <w:sz w:val="32"/>
          <w:szCs w:val="32"/>
        </w:rPr>
        <w:t>一）资金使用</w:t>
      </w: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全年共拨入0.5万元，用于学校1名驻村扶贫教师的差旅补助及办公支出，支出依据合规合法，资金支付与预算相符。</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pStyle w:val="33"/>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三、目标完成情况</w:t>
      </w:r>
      <w:r>
        <w:rPr>
          <w:rFonts w:hint="eastAsia" w:ascii="仿宋_GB2312" w:hAnsi="仿宋_GB2312" w:eastAsia="仿宋_GB2312" w:cs="仿宋_GB2312"/>
          <w:sz w:val="32"/>
          <w:szCs w:val="32"/>
        </w:rPr>
        <w:tab/>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驻村干部完成了目标任务，达到了相关要求，推动帮扶工作有序开展。</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驻村干部都有序，高质量地完成工作，产生了较好的社会效益，充分保障了扶贫工作正常开展。</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宋体" w:hAnsi="宋体"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rPr>
          <w:rFonts w:ascii="黑体" w:hAnsi="黑体" w:eastAsia="黑体"/>
          <w:color w:val="000000"/>
          <w:sz w:val="44"/>
          <w:szCs w:val="44"/>
        </w:rPr>
      </w:pPr>
      <w:bookmarkStart w:id="84" w:name="_Toc15396618"/>
    </w:p>
    <w:p>
      <w:pPr>
        <w:spacing w:line="600" w:lineRule="exact"/>
        <w:jc w:val="center"/>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bookmarkStart w:id="85" w:name="_Toc2306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仿宋" w:hAnsi="仿宋" w:eastAsia="仿宋"/>
          <w:b/>
          <w:color w:val="000000"/>
          <w:sz w:val="44"/>
          <w:szCs w:val="44"/>
        </w:rPr>
      </w:pPr>
      <w:r>
        <w:rPr>
          <w:rFonts w:hint="eastAsia" w:ascii="黑体" w:hAnsi="黑体" w:eastAsia="黑体"/>
          <w:color w:val="000000"/>
          <w:sz w:val="44"/>
          <w:szCs w:val="44"/>
        </w:rPr>
        <w:t>第</w:t>
      </w:r>
      <w:r>
        <w:rPr>
          <w:rStyle w:val="18"/>
          <w:rFonts w:hint="eastAsia" w:ascii="黑体" w:hAnsi="黑体" w:eastAsia="黑体"/>
          <w:b w:val="0"/>
        </w:rPr>
        <w:t>五部分附表</w:t>
      </w:r>
      <w:bookmarkEnd w:id="78"/>
      <w:bookmarkEnd w:id="84"/>
      <w:bookmarkEnd w:id="85"/>
    </w:p>
    <w:p>
      <w:pPr>
        <w:pStyle w:val="14"/>
        <w:spacing w:before="0" w:after="0" w:line="640" w:lineRule="exact"/>
        <w:rPr>
          <w:rFonts w:ascii="仿宋" w:hAnsi="仿宋" w:eastAsia="仿宋"/>
          <w:b w:val="0"/>
          <w:color w:val="000000"/>
        </w:rPr>
      </w:pPr>
      <w:bookmarkStart w:id="86" w:name="_Toc15396619"/>
      <w:bookmarkStart w:id="87" w:name="_Toc2957"/>
    </w:p>
    <w:p>
      <w:pPr>
        <w:pStyle w:val="14"/>
        <w:spacing w:before="0" w:after="0" w:line="640" w:lineRule="exact"/>
        <w:rPr>
          <w:rFonts w:ascii="仿宋" w:hAnsi="仿宋" w:eastAsia="仿宋"/>
          <w:color w:val="000000"/>
        </w:rPr>
      </w:pPr>
      <w:r>
        <w:rPr>
          <w:rFonts w:hint="eastAsia" w:ascii="仿宋" w:hAnsi="仿宋" w:eastAsia="仿宋"/>
          <w:b w:val="0"/>
          <w:color w:val="000000"/>
        </w:rPr>
        <w:t>一、收</w:t>
      </w:r>
      <w:r>
        <w:rPr>
          <w:rStyle w:val="23"/>
          <w:rFonts w:hint="eastAsia" w:ascii="仿宋" w:hAnsi="仿宋" w:eastAsia="仿宋"/>
          <w:b w:val="0"/>
          <w:bCs w:val="0"/>
        </w:rPr>
        <w:t>入支出决算总表</w:t>
      </w:r>
      <w:bookmarkEnd w:id="86"/>
      <w:bookmarkEnd w:id="87"/>
    </w:p>
    <w:p>
      <w:pPr>
        <w:pStyle w:val="14"/>
        <w:spacing w:before="0" w:after="0" w:line="640" w:lineRule="exact"/>
        <w:rPr>
          <w:rFonts w:ascii="仿宋" w:hAnsi="仿宋" w:eastAsia="仿宋"/>
          <w:color w:val="000000"/>
        </w:rPr>
      </w:pPr>
      <w:bookmarkStart w:id="88" w:name="_Toc15396620"/>
      <w:bookmarkStart w:id="89" w:name="_Toc17136"/>
      <w:r>
        <w:rPr>
          <w:rFonts w:hint="eastAsia" w:ascii="仿宋" w:hAnsi="仿宋" w:eastAsia="仿宋"/>
          <w:b w:val="0"/>
          <w:color w:val="000000"/>
        </w:rPr>
        <w:t>二、收</w:t>
      </w:r>
      <w:r>
        <w:rPr>
          <w:rStyle w:val="23"/>
          <w:rFonts w:hint="eastAsia" w:ascii="仿宋" w:hAnsi="仿宋" w:eastAsia="仿宋"/>
          <w:b w:val="0"/>
          <w:bCs w:val="0"/>
        </w:rPr>
        <w:t>入决算表</w:t>
      </w:r>
      <w:bookmarkEnd w:id="88"/>
      <w:bookmarkEnd w:id="89"/>
    </w:p>
    <w:p>
      <w:pPr>
        <w:pStyle w:val="14"/>
        <w:spacing w:before="0" w:after="0" w:line="640" w:lineRule="exact"/>
        <w:rPr>
          <w:rFonts w:ascii="仿宋" w:hAnsi="仿宋" w:eastAsia="仿宋"/>
          <w:color w:val="000000"/>
        </w:rPr>
      </w:pPr>
      <w:bookmarkStart w:id="90" w:name="_Toc15396621"/>
      <w:bookmarkStart w:id="91" w:name="_Toc21318"/>
      <w:r>
        <w:rPr>
          <w:rStyle w:val="23"/>
          <w:rFonts w:hint="eastAsia" w:ascii="仿宋" w:hAnsi="仿宋" w:eastAsia="仿宋"/>
          <w:b w:val="0"/>
          <w:bCs w:val="0"/>
        </w:rPr>
        <w:t>三、</w:t>
      </w:r>
      <w:r>
        <w:rPr>
          <w:rFonts w:hint="eastAsia" w:ascii="仿宋" w:hAnsi="仿宋" w:eastAsia="仿宋"/>
          <w:b w:val="0"/>
          <w:color w:val="000000"/>
        </w:rPr>
        <w:t>支</w:t>
      </w:r>
      <w:r>
        <w:rPr>
          <w:rStyle w:val="23"/>
          <w:rFonts w:hint="eastAsia" w:ascii="仿宋" w:hAnsi="仿宋" w:eastAsia="仿宋"/>
          <w:b w:val="0"/>
          <w:bCs w:val="0"/>
        </w:rPr>
        <w:t>出决算表</w:t>
      </w:r>
      <w:bookmarkEnd w:id="90"/>
      <w:bookmarkEnd w:id="91"/>
    </w:p>
    <w:p>
      <w:pPr>
        <w:pStyle w:val="14"/>
        <w:spacing w:before="0" w:after="0" w:line="640" w:lineRule="exact"/>
        <w:rPr>
          <w:rFonts w:ascii="仿宋" w:hAnsi="仿宋" w:eastAsia="仿宋"/>
          <w:b w:val="0"/>
          <w:color w:val="000000"/>
        </w:rPr>
      </w:pPr>
      <w:bookmarkStart w:id="92" w:name="_Toc15396622"/>
      <w:bookmarkStart w:id="93" w:name="_Toc29108"/>
      <w:r>
        <w:rPr>
          <w:rStyle w:val="23"/>
          <w:rFonts w:hint="eastAsia" w:ascii="仿宋" w:hAnsi="仿宋" w:eastAsia="仿宋"/>
          <w:b w:val="0"/>
          <w:bCs w:val="0"/>
        </w:rPr>
        <w:t>四、</w:t>
      </w:r>
      <w:r>
        <w:rPr>
          <w:rFonts w:hint="eastAsia" w:ascii="仿宋" w:hAnsi="仿宋" w:eastAsia="仿宋"/>
          <w:b w:val="0"/>
          <w:color w:val="000000"/>
        </w:rPr>
        <w:t>财</w:t>
      </w:r>
      <w:r>
        <w:rPr>
          <w:rStyle w:val="23"/>
          <w:rFonts w:hint="eastAsia" w:ascii="仿宋" w:hAnsi="仿宋" w:eastAsia="仿宋"/>
          <w:b w:val="0"/>
          <w:bCs w:val="0"/>
        </w:rPr>
        <w:t>政拨款收入支出决算总表</w:t>
      </w:r>
      <w:bookmarkEnd w:id="92"/>
      <w:bookmarkEnd w:id="93"/>
    </w:p>
    <w:p>
      <w:pPr>
        <w:pStyle w:val="14"/>
        <w:spacing w:before="0" w:after="0" w:line="640" w:lineRule="exact"/>
        <w:rPr>
          <w:rStyle w:val="23"/>
          <w:rFonts w:ascii="仿宋" w:hAnsi="仿宋" w:eastAsia="仿宋"/>
          <w:b w:val="0"/>
          <w:bCs w:val="0"/>
        </w:rPr>
      </w:pPr>
      <w:bookmarkStart w:id="94" w:name="_Toc3915"/>
      <w:bookmarkStart w:id="95" w:name="_Toc15396623"/>
      <w:r>
        <w:rPr>
          <w:rStyle w:val="23"/>
          <w:rFonts w:hint="eastAsia" w:ascii="仿宋" w:hAnsi="仿宋" w:eastAsia="仿宋"/>
          <w:b w:val="0"/>
          <w:bCs w:val="0"/>
        </w:rPr>
        <w:t>五、</w:t>
      </w:r>
      <w:r>
        <w:rPr>
          <w:rFonts w:hint="eastAsia" w:ascii="仿宋" w:hAnsi="仿宋" w:eastAsia="仿宋"/>
          <w:b w:val="0"/>
          <w:color w:val="000000"/>
        </w:rPr>
        <w:t>财</w:t>
      </w:r>
      <w:r>
        <w:rPr>
          <w:rStyle w:val="23"/>
          <w:rFonts w:hint="eastAsia" w:ascii="仿宋" w:hAnsi="仿宋" w:eastAsia="仿宋"/>
          <w:b w:val="0"/>
          <w:bCs w:val="0"/>
        </w:rPr>
        <w:t>政拨款支出决算明细表</w:t>
      </w:r>
      <w:bookmarkEnd w:id="94"/>
      <w:bookmarkEnd w:id="95"/>
      <w:bookmarkStart w:id="96" w:name="_Toc15396624"/>
    </w:p>
    <w:p>
      <w:pPr>
        <w:pStyle w:val="14"/>
        <w:spacing w:before="0" w:after="0" w:line="640" w:lineRule="exact"/>
        <w:rPr>
          <w:rFonts w:ascii="仿宋" w:hAnsi="仿宋" w:eastAsia="仿宋"/>
          <w:color w:val="000000"/>
        </w:rPr>
      </w:pPr>
      <w:bookmarkStart w:id="97" w:name="_Toc22102"/>
      <w:r>
        <w:rPr>
          <w:rStyle w:val="23"/>
          <w:rFonts w:hint="eastAsia" w:ascii="仿宋" w:hAnsi="仿宋" w:eastAsia="仿宋"/>
          <w:b w:val="0"/>
          <w:bCs w:val="0"/>
        </w:rPr>
        <w:t>六、</w:t>
      </w:r>
      <w:r>
        <w:rPr>
          <w:rFonts w:hint="eastAsia" w:ascii="仿宋" w:hAnsi="仿宋" w:eastAsia="仿宋"/>
          <w:b w:val="0"/>
          <w:color w:val="000000"/>
        </w:rPr>
        <w:t>一</w:t>
      </w:r>
      <w:r>
        <w:rPr>
          <w:rStyle w:val="23"/>
          <w:rFonts w:hint="eastAsia" w:ascii="仿宋" w:hAnsi="仿宋" w:eastAsia="仿宋"/>
          <w:b w:val="0"/>
          <w:bCs w:val="0"/>
        </w:rPr>
        <w:t>般公共预算</w:t>
      </w:r>
      <w:r>
        <w:rPr>
          <w:rFonts w:hint="eastAsia" w:ascii="仿宋" w:hAnsi="仿宋" w:eastAsia="仿宋"/>
        </w:rPr>
        <w:t>财政拨款支出决算表</w:t>
      </w:r>
      <w:bookmarkEnd w:id="96"/>
      <w:bookmarkEnd w:id="97"/>
    </w:p>
    <w:p>
      <w:pPr>
        <w:pStyle w:val="14"/>
        <w:spacing w:before="0" w:after="0" w:line="640" w:lineRule="exact"/>
        <w:rPr>
          <w:rFonts w:ascii="仿宋" w:hAnsi="仿宋" w:eastAsia="仿宋"/>
          <w:color w:val="000000"/>
        </w:rPr>
      </w:pPr>
      <w:bookmarkStart w:id="98" w:name="_Toc17011"/>
      <w:bookmarkStart w:id="99" w:name="_Toc15396625"/>
      <w:r>
        <w:rPr>
          <w:rStyle w:val="23"/>
          <w:rFonts w:hint="eastAsia" w:ascii="仿宋" w:hAnsi="仿宋" w:eastAsia="仿宋"/>
          <w:b w:val="0"/>
          <w:bCs w:val="0"/>
        </w:rPr>
        <w:t>七、</w:t>
      </w:r>
      <w:r>
        <w:rPr>
          <w:rFonts w:hint="eastAsia" w:ascii="仿宋" w:hAnsi="仿宋" w:eastAsia="仿宋"/>
          <w:b w:val="0"/>
          <w:color w:val="000000"/>
        </w:rPr>
        <w:t>一</w:t>
      </w:r>
      <w:r>
        <w:rPr>
          <w:rStyle w:val="23"/>
          <w:rFonts w:hint="eastAsia" w:ascii="仿宋" w:hAnsi="仿宋" w:eastAsia="仿宋"/>
          <w:b w:val="0"/>
          <w:bCs w:val="0"/>
        </w:rPr>
        <w:t>般公共预算</w:t>
      </w:r>
      <w:r>
        <w:rPr>
          <w:rFonts w:hint="eastAsia" w:ascii="仿宋" w:hAnsi="仿宋" w:eastAsia="仿宋"/>
        </w:rPr>
        <w:t>财政拨款支出决算明细表</w:t>
      </w:r>
      <w:bookmarkEnd w:id="98"/>
      <w:bookmarkEnd w:id="99"/>
    </w:p>
    <w:p>
      <w:pPr>
        <w:pStyle w:val="14"/>
        <w:spacing w:before="0" w:after="0" w:line="640" w:lineRule="exact"/>
        <w:rPr>
          <w:rFonts w:ascii="仿宋" w:hAnsi="仿宋" w:eastAsia="仿宋"/>
          <w:color w:val="000000"/>
        </w:rPr>
      </w:pPr>
      <w:bookmarkStart w:id="100" w:name="_Toc15396626"/>
      <w:bookmarkStart w:id="101" w:name="_Toc6225"/>
      <w:r>
        <w:rPr>
          <w:rStyle w:val="23"/>
          <w:rFonts w:hint="eastAsia" w:ascii="仿宋" w:hAnsi="仿宋" w:eastAsia="仿宋"/>
          <w:b w:val="0"/>
          <w:bCs w:val="0"/>
        </w:rPr>
        <w:t>八、</w:t>
      </w:r>
      <w:r>
        <w:rPr>
          <w:rFonts w:hint="eastAsia" w:ascii="仿宋" w:hAnsi="仿宋" w:eastAsia="仿宋"/>
          <w:b w:val="0"/>
          <w:color w:val="000000"/>
        </w:rPr>
        <w:t>一</w:t>
      </w:r>
      <w:r>
        <w:rPr>
          <w:rStyle w:val="23"/>
          <w:rFonts w:hint="eastAsia" w:ascii="仿宋" w:hAnsi="仿宋" w:eastAsia="仿宋"/>
          <w:b w:val="0"/>
          <w:bCs w:val="0"/>
        </w:rPr>
        <w:t>般公共预算</w:t>
      </w:r>
      <w:r>
        <w:rPr>
          <w:rFonts w:hint="eastAsia" w:ascii="仿宋" w:hAnsi="仿宋" w:eastAsia="仿宋"/>
        </w:rPr>
        <w:t>财政拨款基本支出决算表</w:t>
      </w:r>
      <w:bookmarkEnd w:id="100"/>
      <w:bookmarkEnd w:id="101"/>
    </w:p>
    <w:p>
      <w:pPr>
        <w:pStyle w:val="14"/>
        <w:spacing w:before="0" w:after="0" w:line="640" w:lineRule="exact"/>
        <w:rPr>
          <w:rFonts w:ascii="仿宋" w:hAnsi="仿宋" w:eastAsia="仿宋"/>
          <w:color w:val="000000"/>
        </w:rPr>
      </w:pPr>
      <w:bookmarkStart w:id="102" w:name="_Toc15396627"/>
      <w:bookmarkStart w:id="103" w:name="_Toc28235"/>
      <w:r>
        <w:rPr>
          <w:rStyle w:val="23"/>
          <w:rFonts w:hint="eastAsia" w:ascii="仿宋" w:hAnsi="仿宋" w:eastAsia="仿宋"/>
          <w:b w:val="0"/>
          <w:bCs w:val="0"/>
        </w:rPr>
        <w:t>九、</w:t>
      </w:r>
      <w:r>
        <w:rPr>
          <w:rFonts w:hint="eastAsia" w:ascii="仿宋" w:hAnsi="仿宋" w:eastAsia="仿宋"/>
          <w:b w:val="0"/>
          <w:color w:val="000000"/>
        </w:rPr>
        <w:t>一</w:t>
      </w:r>
      <w:r>
        <w:rPr>
          <w:rStyle w:val="23"/>
          <w:rFonts w:hint="eastAsia" w:ascii="仿宋" w:hAnsi="仿宋" w:eastAsia="仿宋"/>
          <w:b w:val="0"/>
          <w:bCs w:val="0"/>
        </w:rPr>
        <w:t>般公共预算</w:t>
      </w:r>
      <w:r>
        <w:rPr>
          <w:rFonts w:hint="eastAsia" w:ascii="仿宋" w:hAnsi="仿宋" w:eastAsia="仿宋"/>
        </w:rPr>
        <w:t>财政拨款项目支出决算表</w:t>
      </w:r>
      <w:bookmarkEnd w:id="102"/>
      <w:bookmarkEnd w:id="103"/>
    </w:p>
    <w:p>
      <w:pPr>
        <w:pStyle w:val="14"/>
        <w:spacing w:before="0" w:after="0" w:line="640" w:lineRule="exact"/>
        <w:rPr>
          <w:rFonts w:ascii="仿宋" w:hAnsi="仿宋" w:eastAsia="仿宋"/>
          <w:color w:val="000000"/>
        </w:rPr>
      </w:pPr>
      <w:bookmarkStart w:id="104" w:name="_Toc13071"/>
      <w:bookmarkStart w:id="105" w:name="_Toc15396628"/>
      <w:r>
        <w:rPr>
          <w:rStyle w:val="23"/>
          <w:rFonts w:hint="eastAsia" w:ascii="仿宋" w:hAnsi="仿宋" w:eastAsia="仿宋"/>
          <w:b w:val="0"/>
          <w:bCs w:val="0"/>
        </w:rPr>
        <w:t>十、</w:t>
      </w:r>
      <w:r>
        <w:rPr>
          <w:rFonts w:hint="eastAsia" w:ascii="仿宋" w:hAnsi="仿宋" w:eastAsia="仿宋"/>
          <w:b w:val="0"/>
          <w:color w:val="000000"/>
        </w:rPr>
        <w:t>一</w:t>
      </w:r>
      <w:r>
        <w:rPr>
          <w:rStyle w:val="23"/>
          <w:rFonts w:hint="eastAsia" w:ascii="仿宋" w:hAnsi="仿宋" w:eastAsia="仿宋"/>
          <w:b w:val="0"/>
          <w:bCs w:val="0"/>
        </w:rPr>
        <w:t>般公共预算</w:t>
      </w:r>
      <w:r>
        <w:rPr>
          <w:rFonts w:hint="eastAsia" w:ascii="仿宋" w:hAnsi="仿宋" w:eastAsia="仿宋"/>
        </w:rPr>
        <w:t>财政拨</w:t>
      </w:r>
      <w:r>
        <w:rPr>
          <w:rStyle w:val="23"/>
          <w:rFonts w:hint="eastAsia" w:ascii="仿宋" w:hAnsi="仿宋" w:eastAsia="仿宋"/>
          <w:b w:val="0"/>
          <w:bCs w:val="0"/>
        </w:rPr>
        <w:t>款“三公”经费</w:t>
      </w:r>
      <w:r>
        <w:rPr>
          <w:rFonts w:hint="eastAsia" w:ascii="仿宋" w:hAnsi="仿宋" w:eastAsia="仿宋"/>
        </w:rPr>
        <w:t>支出决算表</w:t>
      </w:r>
      <w:bookmarkEnd w:id="104"/>
      <w:bookmarkEnd w:id="105"/>
    </w:p>
    <w:p>
      <w:pPr>
        <w:pStyle w:val="14"/>
        <w:spacing w:before="0" w:after="0" w:line="640" w:lineRule="exact"/>
        <w:rPr>
          <w:rFonts w:ascii="仿宋" w:hAnsi="仿宋" w:eastAsia="仿宋"/>
          <w:color w:val="000000"/>
        </w:rPr>
      </w:pPr>
      <w:bookmarkStart w:id="106" w:name="_Toc26715"/>
      <w:bookmarkStart w:id="107" w:name="_Toc15396629"/>
      <w:r>
        <w:rPr>
          <w:rStyle w:val="23"/>
          <w:rFonts w:hint="eastAsia" w:ascii="仿宋" w:hAnsi="仿宋" w:eastAsia="仿宋"/>
          <w:b w:val="0"/>
          <w:bCs w:val="0"/>
        </w:rPr>
        <w:t>十一、</w:t>
      </w:r>
      <w:r>
        <w:rPr>
          <w:rFonts w:hint="eastAsia" w:ascii="仿宋" w:hAnsi="仿宋" w:eastAsia="仿宋"/>
          <w:b w:val="0"/>
          <w:color w:val="000000"/>
        </w:rPr>
        <w:t>政</w:t>
      </w:r>
      <w:r>
        <w:rPr>
          <w:rStyle w:val="23"/>
          <w:rFonts w:hint="eastAsia" w:ascii="仿宋" w:hAnsi="仿宋" w:eastAsia="仿宋"/>
          <w:b w:val="0"/>
          <w:bCs w:val="0"/>
        </w:rPr>
        <w:t>府性基金预算</w:t>
      </w:r>
      <w:r>
        <w:rPr>
          <w:rFonts w:hint="eastAsia" w:ascii="仿宋" w:hAnsi="仿宋" w:eastAsia="仿宋"/>
        </w:rPr>
        <w:t>财政拨款收入支出决算表</w:t>
      </w:r>
      <w:bookmarkEnd w:id="106"/>
      <w:bookmarkEnd w:id="107"/>
    </w:p>
    <w:p>
      <w:pPr>
        <w:pStyle w:val="14"/>
        <w:spacing w:before="0" w:after="0" w:line="640" w:lineRule="exact"/>
        <w:rPr>
          <w:rFonts w:ascii="仿宋" w:hAnsi="仿宋" w:eastAsia="仿宋"/>
          <w:color w:val="000000"/>
        </w:rPr>
      </w:pPr>
      <w:bookmarkStart w:id="108" w:name="_Toc30365"/>
      <w:bookmarkStart w:id="109" w:name="_Toc15396630"/>
      <w:r>
        <w:rPr>
          <w:rStyle w:val="23"/>
          <w:rFonts w:hint="eastAsia" w:ascii="仿宋" w:hAnsi="仿宋" w:eastAsia="仿宋"/>
          <w:b w:val="0"/>
          <w:bCs w:val="0"/>
        </w:rPr>
        <w:t>十二、</w:t>
      </w:r>
      <w:r>
        <w:rPr>
          <w:rFonts w:hint="eastAsia" w:ascii="仿宋" w:hAnsi="仿宋" w:eastAsia="仿宋"/>
          <w:b w:val="0"/>
          <w:color w:val="000000"/>
        </w:rPr>
        <w:t>政</w:t>
      </w:r>
      <w:r>
        <w:rPr>
          <w:rStyle w:val="23"/>
          <w:rFonts w:hint="eastAsia" w:ascii="仿宋" w:hAnsi="仿宋" w:eastAsia="仿宋"/>
          <w:b w:val="0"/>
          <w:bCs w:val="0"/>
        </w:rPr>
        <w:t>府性基金预算</w:t>
      </w:r>
      <w:r>
        <w:rPr>
          <w:rFonts w:hint="eastAsia" w:ascii="仿宋" w:hAnsi="仿宋" w:eastAsia="仿宋"/>
        </w:rPr>
        <w:t>财政拨</w:t>
      </w:r>
      <w:r>
        <w:rPr>
          <w:rStyle w:val="23"/>
          <w:rFonts w:hint="eastAsia" w:ascii="仿宋" w:hAnsi="仿宋" w:eastAsia="仿宋"/>
          <w:b w:val="0"/>
          <w:bCs w:val="0"/>
        </w:rPr>
        <w:t>款“三公”经费</w:t>
      </w:r>
      <w:r>
        <w:rPr>
          <w:rFonts w:hint="eastAsia" w:ascii="仿宋" w:hAnsi="仿宋" w:eastAsia="仿宋"/>
        </w:rPr>
        <w:t>支出决算表</w:t>
      </w:r>
      <w:bookmarkEnd w:id="108"/>
      <w:bookmarkEnd w:id="109"/>
    </w:p>
    <w:p>
      <w:pPr>
        <w:pStyle w:val="14"/>
        <w:spacing w:before="0" w:after="0" w:line="640" w:lineRule="exact"/>
        <w:rPr>
          <w:rStyle w:val="23"/>
          <w:rFonts w:ascii="仿宋" w:hAnsi="仿宋" w:eastAsia="仿宋"/>
          <w:b w:val="0"/>
          <w:bCs w:val="0"/>
        </w:rPr>
      </w:pPr>
      <w:bookmarkStart w:id="110" w:name="_Toc15396631"/>
      <w:bookmarkStart w:id="111" w:name="_Toc22172"/>
      <w:r>
        <w:rPr>
          <w:rStyle w:val="23"/>
          <w:rFonts w:hint="eastAsia" w:ascii="仿宋" w:hAnsi="仿宋" w:eastAsia="仿宋"/>
          <w:b w:val="0"/>
          <w:bCs w:val="0"/>
        </w:rPr>
        <w:t>十三、</w:t>
      </w:r>
      <w:r>
        <w:rPr>
          <w:rFonts w:hint="eastAsia" w:ascii="仿宋" w:hAnsi="仿宋" w:eastAsia="仿宋"/>
          <w:b w:val="0"/>
          <w:color w:val="000000"/>
        </w:rPr>
        <w:t>国</w:t>
      </w:r>
      <w:r>
        <w:rPr>
          <w:rStyle w:val="23"/>
          <w:rFonts w:hint="eastAsia" w:ascii="仿宋" w:hAnsi="仿宋" w:eastAsia="仿宋"/>
          <w:b w:val="0"/>
          <w:bCs w:val="0"/>
        </w:rPr>
        <w:t>有资本</w:t>
      </w:r>
      <w:r>
        <w:rPr>
          <w:rFonts w:hint="eastAsia" w:ascii="仿宋" w:hAnsi="仿宋" w:eastAsia="仿宋"/>
        </w:rPr>
        <w:t>经营预算财政拨款支出决算表</w:t>
      </w:r>
      <w:bookmarkEnd w:id="110"/>
      <w:bookmarkEnd w:id="111"/>
    </w:p>
    <w:p>
      <w:pPr>
        <w:pStyle w:val="14"/>
        <w:spacing w:before="0" w:after="0" w:line="640" w:lineRule="exact"/>
        <w:rPr>
          <w:rStyle w:val="23"/>
          <w:rFonts w:ascii="仿宋" w:hAnsi="仿宋" w:eastAsia="仿宋"/>
          <w:b w:val="0"/>
          <w:bCs w:val="0"/>
        </w:rPr>
      </w:pPr>
      <w:bookmarkStart w:id="112" w:name="_Toc5821"/>
      <w:r>
        <w:rPr>
          <w:rStyle w:val="23"/>
          <w:rFonts w:hint="eastAsia" w:ascii="仿宋" w:hAnsi="仿宋" w:eastAsia="仿宋"/>
          <w:b w:val="0"/>
          <w:bCs w:val="0"/>
        </w:rPr>
        <w:t>十四、</w:t>
      </w:r>
      <w:r>
        <w:rPr>
          <w:rFonts w:hint="eastAsia" w:ascii="仿宋" w:hAnsi="仿宋" w:eastAsia="仿宋"/>
          <w:b w:val="0"/>
          <w:bCs w:val="0"/>
        </w:rPr>
        <w:t>国有资本经营</w:t>
      </w:r>
      <w:r>
        <w:rPr>
          <w:rStyle w:val="23"/>
          <w:rFonts w:hint="eastAsia" w:ascii="仿宋" w:hAnsi="仿宋" w:eastAsia="仿宋"/>
          <w:b w:val="0"/>
          <w:bCs w:val="0"/>
        </w:rPr>
        <w:t>预算</w:t>
      </w:r>
      <w:r>
        <w:rPr>
          <w:rFonts w:hint="eastAsia" w:ascii="仿宋" w:hAnsi="仿宋" w:eastAsia="仿宋"/>
          <w:b w:val="0"/>
          <w:bCs w:val="0"/>
        </w:rPr>
        <w:t>财政拨款支出决算表</w:t>
      </w:r>
      <w:bookmarkEnd w:id="112"/>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36</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1B00E7"/>
    <w:multiLevelType w:val="singleLevel"/>
    <w:tmpl w:val="0D1B00E7"/>
    <w:lvl w:ilvl="0" w:tentative="0">
      <w:start w:val="9"/>
      <w:numFmt w:val="chineseCounting"/>
      <w:suff w:val="nothing"/>
      <w:lvlText w:val="%1、"/>
      <w:lvlJc w:val="left"/>
      <w:rPr>
        <w:rFonts w:hint="eastAsia" w:cs="Times New Roman"/>
      </w:rPr>
    </w:lvl>
  </w:abstractNum>
  <w:abstractNum w:abstractNumId="1">
    <w:nsid w:val="1D92175B"/>
    <w:multiLevelType w:val="multilevel"/>
    <w:tmpl w:val="1D92175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39140573"/>
    <w:multiLevelType w:val="singleLevel"/>
    <w:tmpl w:val="39140573"/>
    <w:lvl w:ilvl="0" w:tentative="0">
      <w:start w:val="3"/>
      <w:numFmt w:val="chineseCounting"/>
      <w:suff w:val="space"/>
      <w:lvlText w:val="第%1部分"/>
      <w:lvlJc w:val="left"/>
      <w:rPr>
        <w:rFonts w:hint="eastAsia" w:cs="Times New Roman"/>
      </w:rPr>
    </w:lvl>
  </w:abstractNum>
  <w:abstractNum w:abstractNumId="3">
    <w:nsid w:val="762947F9"/>
    <w:multiLevelType w:val="singleLevel"/>
    <w:tmpl w:val="762947F9"/>
    <w:lvl w:ilvl="0" w:tentative="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ViMTY2MzAwNzZjNjc3NDcyZjNiODJhNzZkNmE1YzIifQ=="/>
  </w:docVars>
  <w:rsids>
    <w:rsidRoot w:val="00267651"/>
    <w:rsid w:val="00267651"/>
    <w:rsid w:val="002C23F4"/>
    <w:rsid w:val="00336DCA"/>
    <w:rsid w:val="46041BB3"/>
    <w:rsid w:val="4F517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40"/>
    <w:qFormat/>
    <w:uiPriority w:val="99"/>
    <w:pPr>
      <w:tabs>
        <w:tab w:val="center" w:pos="4153"/>
        <w:tab w:val="right" w:pos="8306"/>
      </w:tabs>
      <w:snapToGrid w:val="0"/>
      <w:jc w:val="left"/>
    </w:pPr>
    <w:rPr>
      <w:sz w:val="18"/>
      <w:szCs w:val="18"/>
    </w:rPr>
  </w:style>
  <w:style w:type="paragraph" w:styleId="6">
    <w:name w:val="header"/>
    <w:basedOn w:val="1"/>
    <w:link w:val="39"/>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Hyperlink"/>
    <w:basedOn w:val="9"/>
    <w:unhideWhenUsed/>
    <w:qFormat/>
    <w:uiPriority w:val="99"/>
    <w:rPr>
      <w:rFonts w:cs="Times New Roman"/>
      <w:color w:val="0000FF"/>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18"/>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23"/>
    <w:unhideWhenUsed/>
    <w:qFormat/>
    <w:uiPriority w:val="9"/>
    <w:pPr>
      <w:keepNext/>
      <w:keepLines/>
      <w:spacing w:before="260" w:after="260" w:line="416" w:lineRule="auto"/>
      <w:outlineLvl w:val="1"/>
    </w:pPr>
    <w:rPr>
      <w:rFonts w:ascii="Cambria" w:hAnsi="Cambria"/>
      <w:b/>
      <w:bCs/>
      <w:sz w:val="32"/>
      <w:szCs w:val="32"/>
    </w:rPr>
  </w:style>
  <w:style w:type="paragraph" w:customStyle="1" w:styleId="15">
    <w:name w:val="Heading 3"/>
    <w:basedOn w:val="1"/>
    <w:next w:val="1"/>
    <w:link w:val="17"/>
    <w:unhideWhenUsed/>
    <w:qFormat/>
    <w:uiPriority w:val="9"/>
    <w:pPr>
      <w:keepNext/>
      <w:keepLines/>
      <w:spacing w:before="260" w:after="260" w:line="416" w:lineRule="auto"/>
      <w:outlineLvl w:val="2"/>
    </w:pPr>
    <w:rPr>
      <w:b/>
      <w:bCs/>
      <w:sz w:val="32"/>
      <w:szCs w:val="32"/>
    </w:rPr>
  </w:style>
  <w:style w:type="character" w:customStyle="1" w:styleId="16">
    <w:name w:val="页脚 Char"/>
    <w:semiHidden/>
    <w:qFormat/>
    <w:locked/>
    <w:uiPriority w:val="99"/>
    <w:rPr>
      <w:sz w:val="18"/>
    </w:rPr>
  </w:style>
  <w:style w:type="character" w:customStyle="1" w:styleId="17">
    <w:name w:val="标题 3 Char"/>
    <w:basedOn w:val="9"/>
    <w:link w:val="15"/>
    <w:qFormat/>
    <w:locked/>
    <w:uiPriority w:val="9"/>
    <w:rPr>
      <w:rFonts w:ascii="Times New Roman" w:hAnsi="Times New Roman" w:cs="Times New Roman"/>
      <w:b/>
      <w:bCs/>
      <w:kern w:val="2"/>
      <w:sz w:val="32"/>
      <w:szCs w:val="32"/>
    </w:rPr>
  </w:style>
  <w:style w:type="character" w:customStyle="1" w:styleId="18">
    <w:name w:val="标题 1 Char"/>
    <w:basedOn w:val="9"/>
    <w:link w:val="13"/>
    <w:qFormat/>
    <w:locked/>
    <w:uiPriority w:val="9"/>
    <w:rPr>
      <w:rFonts w:ascii="Times New Roman" w:hAnsi="Times New Roman" w:cs="Times New Roman"/>
      <w:b/>
      <w:bCs/>
      <w:kern w:val="44"/>
      <w:sz w:val="44"/>
      <w:szCs w:val="44"/>
    </w:rPr>
  </w:style>
  <w:style w:type="character" w:customStyle="1" w:styleId="19">
    <w:name w:val="Footer Char"/>
    <w:basedOn w:val="9"/>
    <w:semiHidden/>
    <w:qFormat/>
    <w:uiPriority w:val="99"/>
    <w:rPr>
      <w:rFonts w:ascii="Times New Roman" w:hAnsi="Times New Roman" w:cs="Times New Roman"/>
      <w:sz w:val="18"/>
      <w:szCs w:val="18"/>
    </w:rPr>
  </w:style>
  <w:style w:type="character" w:customStyle="1" w:styleId="20">
    <w:name w:val="Char Char3"/>
    <w:qFormat/>
    <w:locked/>
    <w:uiPriority w:val="99"/>
    <w:rPr>
      <w:rFonts w:ascii="仿宋_GB2312" w:hAnsi="Times New Roman" w:eastAsia="仿宋_GB2312"/>
      <w:sz w:val="24"/>
    </w:rPr>
  </w:style>
  <w:style w:type="character" w:customStyle="1" w:styleId="21">
    <w:name w:val="正文文本 Char"/>
    <w:qFormat/>
    <w:locked/>
    <w:uiPriority w:val="99"/>
    <w:rPr>
      <w:sz w:val="18"/>
    </w:rPr>
  </w:style>
  <w:style w:type="character" w:customStyle="1" w:styleId="22">
    <w:name w:val="Char Char2"/>
    <w:basedOn w:val="9"/>
    <w:semiHidden/>
    <w:qFormat/>
    <w:locked/>
    <w:uiPriority w:val="99"/>
    <w:rPr>
      <w:rFonts w:ascii="Times New Roman" w:hAnsi="Times New Roman" w:cs="Times New Roman"/>
      <w:kern w:val="2"/>
      <w:sz w:val="18"/>
      <w:szCs w:val="18"/>
    </w:rPr>
  </w:style>
  <w:style w:type="character" w:customStyle="1" w:styleId="23">
    <w:name w:val="标题 2 Char"/>
    <w:basedOn w:val="9"/>
    <w:link w:val="14"/>
    <w:qFormat/>
    <w:locked/>
    <w:uiPriority w:val="9"/>
    <w:rPr>
      <w:rFonts w:ascii="Cambria" w:hAnsi="Cambria" w:eastAsia="宋体" w:cs="Times New Roman"/>
      <w:b/>
      <w:bCs/>
      <w:kern w:val="2"/>
      <w:sz w:val="32"/>
      <w:szCs w:val="32"/>
    </w:rPr>
  </w:style>
  <w:style w:type="character" w:customStyle="1" w:styleId="24">
    <w:name w:val="Header Char"/>
    <w:basedOn w:val="9"/>
    <w:semiHidden/>
    <w:qFormat/>
    <w:uiPriority w:val="99"/>
    <w:rPr>
      <w:rFonts w:ascii="Times New Roman" w:hAnsi="Times New Roman" w:cs="Times New Roman"/>
      <w:sz w:val="18"/>
      <w:szCs w:val="18"/>
    </w:rPr>
  </w:style>
  <w:style w:type="character" w:customStyle="1" w:styleId="25">
    <w:name w:val="Body Text Char"/>
    <w:basedOn w:val="9"/>
    <w:semiHidden/>
    <w:qFormat/>
    <w:uiPriority w:val="99"/>
    <w:rPr>
      <w:rFonts w:ascii="Times New Roman" w:hAnsi="Times New Roman" w:cs="Times New Roman"/>
      <w:sz w:val="24"/>
      <w:szCs w:val="24"/>
    </w:rPr>
  </w:style>
  <w:style w:type="paragraph" w:customStyle="1" w:styleId="26">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7">
    <w:name w:val="TOC 3"/>
    <w:basedOn w:val="1"/>
    <w:next w:val="1"/>
    <w:unhideWhenUsed/>
    <w:qFormat/>
    <w:uiPriority w:val="39"/>
    <w:pPr>
      <w:tabs>
        <w:tab w:val="right" w:leader="dot" w:pos="8296"/>
      </w:tabs>
      <w:ind w:left="840" w:leftChars="400"/>
    </w:pPr>
  </w:style>
  <w:style w:type="paragraph" w:customStyle="1" w:styleId="2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29">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TOC 2"/>
    <w:basedOn w:val="1"/>
    <w:next w:val="1"/>
    <w:unhideWhenUsed/>
    <w:qFormat/>
    <w:uiPriority w:val="39"/>
    <w:pPr>
      <w:tabs>
        <w:tab w:val="right" w:leader="dot" w:pos="8296"/>
      </w:tabs>
      <w:ind w:left="420" w:leftChars="200"/>
    </w:pPr>
  </w:style>
  <w:style w:type="paragraph" w:customStyle="1" w:styleId="33">
    <w:name w:val="四号正文"/>
    <w:basedOn w:val="1"/>
    <w:qFormat/>
    <w:uiPriority w:val="0"/>
    <w:pPr>
      <w:spacing w:line="360" w:lineRule="auto"/>
    </w:pPr>
    <w:rPr>
      <w:rFonts w:ascii="??" w:hAnsi="??" w:cs="宋体"/>
      <w:color w:val="000000"/>
      <w:kern w:val="0"/>
      <w:sz w:val="28"/>
      <w:szCs w:val="21"/>
    </w:rPr>
  </w:style>
  <w:style w:type="paragraph" w:styleId="34">
    <w:name w:val="List Paragraph"/>
    <w:basedOn w:val="1"/>
    <w:qFormat/>
    <w:uiPriority w:val="34"/>
    <w:pPr>
      <w:ind w:firstLine="420" w:firstLineChars="200"/>
    </w:pPr>
  </w:style>
  <w:style w:type="paragraph" w:customStyle="1" w:styleId="35">
    <w:name w:val="TOC Heading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7">
    <w:name w:val="TOC 标题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8">
    <w:name w:val="批注文字 Char"/>
    <w:basedOn w:val="9"/>
    <w:semiHidden/>
    <w:uiPriority w:val="99"/>
    <w:rPr>
      <w:kern w:val="2"/>
      <w:sz w:val="21"/>
      <w:szCs w:val="24"/>
    </w:rPr>
  </w:style>
  <w:style w:type="character" w:customStyle="1" w:styleId="39">
    <w:name w:val="页眉 Char"/>
    <w:basedOn w:val="9"/>
    <w:link w:val="6"/>
    <w:semiHidden/>
    <w:uiPriority w:val="99"/>
    <w:rPr>
      <w:kern w:val="2"/>
      <w:sz w:val="18"/>
      <w:szCs w:val="18"/>
    </w:rPr>
  </w:style>
  <w:style w:type="character" w:customStyle="1" w:styleId="40">
    <w:name w:val="页脚 Char1"/>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Workbook2.xls"/><Relationship Id="rId7" Type="http://schemas.openxmlformats.org/officeDocument/2006/relationships/image" Target="media/image1.emf"/><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customXml" Target="../customXml/item10.xml"/><Relationship Id="rId3" Type="http://schemas.openxmlformats.org/officeDocument/2006/relationships/header" Target="header1.xml"/><Relationship Id="rId29" Type="http://schemas.openxmlformats.org/officeDocument/2006/relationships/customXml" Target="../customXml/item9.xml"/><Relationship Id="rId28" Type="http://schemas.openxmlformats.org/officeDocument/2006/relationships/customXml" Target="../customXml/item8.xml"/><Relationship Id="rId27" Type="http://schemas.openxmlformats.org/officeDocument/2006/relationships/customXml" Target="../customXml/item7.xml"/><Relationship Id="rId26" Type="http://schemas.openxmlformats.org/officeDocument/2006/relationships/customXml" Target="../customXml/item6.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oleObject" Target="embeddings/Workbook7.xls"/><Relationship Id="rId17" Type="http://schemas.openxmlformats.org/officeDocument/2006/relationships/image" Target="media/image6.emf"/><Relationship Id="rId16" Type="http://schemas.openxmlformats.org/officeDocument/2006/relationships/oleObject" Target="embeddings/Workbook6.xls"/><Relationship Id="rId15" Type="http://schemas.openxmlformats.org/officeDocument/2006/relationships/image" Target="media/image5.emf"/><Relationship Id="rId14" Type="http://schemas.openxmlformats.org/officeDocument/2006/relationships/oleObject" Target="embeddings/Workbook5.xls"/><Relationship Id="rId13" Type="http://schemas.openxmlformats.org/officeDocument/2006/relationships/image" Target="media/image4.emf"/><Relationship Id="rId12" Type="http://schemas.openxmlformats.org/officeDocument/2006/relationships/oleObject" Target="embeddings/Workbook4.xls"/><Relationship Id="rId11" Type="http://schemas.openxmlformats.org/officeDocument/2006/relationships/image" Target="media/image3.emf"/><Relationship Id="rId10" Type="http://schemas.openxmlformats.org/officeDocument/2006/relationships/oleObject" Target="embeddings/Workbook3.xls"/><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836"/>
    <customShpInfo spid="_x0000_s1838"/>
    <customShpInfo spid="_x0000_s1840"/>
    <customShpInfo spid="_x0000_s1842"/>
    <customShpInfo spid="_x0000_s1844"/>
    <customShpInfo spid="_x0000_s1846"/>
    <customShpInfo spid="_x0000_s1848"/>
  </customShpExts>
</s:customData>
</file>

<file path=customXml/item10.xml><?xml version="1.0" encoding="utf-8"?>
<Properties xmlns:vt="http://schemas.openxmlformats.org/officeDocument/2006/docPropsVTypes" xmlns="http://schemas.openxmlformats.org/officeDocument/2006/extended-properties">
  <Template>Normal</Template>
  <TotalTime>157269120</TotalTime>
  <Pages>44</Pages>
  <Words>13555</Words>
  <Characters>14541</Characters>
  <Application>WPS Office_11.1.0.9208_F1E327BC-269C-435d-A152-05C5408002CA</Application>
  <DocSecurity>0</DocSecurity>
  <Lines>61</Lines>
  <Paragraphs>17</Paragraphs>
  <Company>四川省财政厅</Company>
  <CharactersWithSpaces>14750</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2022-09-06T07:37:21Z</cp:lastPrinted>
  <dcterms:created xsi:type="dcterms:W3CDTF">2020-08-04T01:49:00Z</dcterms:created>
  <dcterms:modified xsi:type="dcterms:W3CDTF">2022-11-08T03:36:14Z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39</cp:revision>
  <cp:lastPrinted>2022-09-06T07:37:00Z</cp:lastPrinted>
  <dcterms:created xsi:type="dcterms:W3CDTF">2020-08-04T01:49:00Z</dcterms:created>
  <dcterms:modified xsi:type="dcterms:W3CDTF">2023-02-23T03:45:00Z</dcterms:modified>
</cp:coreProperties>
</file>

<file path=customXml/item4.xml><?xml version="1.0" encoding="utf-8"?>
<Properties xmlns="http://schemas.openxmlformats.org/officeDocument/2006/extended-properties" xmlns:vt="http://schemas.openxmlformats.org/officeDocument/2006/docPropsVTypes">
  <Template>Normal</Template>
  <TotalTime>157269135</TotalTime>
  <Pages>37</Pages>
  <Words>2431</Words>
  <Characters>13858</Characters>
  <Application>Microsoft Office Word</Application>
  <DocSecurity>0</DocSecurity>
  <Lines>115</Lines>
  <Paragraphs>32</Paragraphs>
  <ScaleCrop>false</ScaleCrop>
  <Company>四川省财政厅</Company>
  <LinksUpToDate>false</LinksUpToDate>
  <CharactersWithSpaces>16257</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39</cp:revision>
  <cp:lastPrinted>2022-09-06T07:37:00Z</cp:lastPrinted>
  <dcterms:created xsi:type="dcterms:W3CDTF">2020-08-04T01:49:00Z</dcterms:created>
  <dcterms:modified xsi:type="dcterms:W3CDTF">2023-02-23T03:45:00Z</dcterms:modified>
</cp:coreProperties>
</file>

<file path=customXml/item7.xml><?xml version="1.0" encoding="utf-8"?>
<Properties xmlns:vt="http://schemas.openxmlformats.org/officeDocument/2006/docPropsVTypes" xmlns="http://schemas.openxmlformats.org/officeDocument/2006/extended-properties">
  <Template>Normal</Template>
  <TotalTime>157269135</TotalTime>
  <Pages>37</Pages>
  <Words>2431</Words>
  <Characters>13858</Characters>
  <Application>Microsoft Office Word</Application>
  <DocSecurity>0</DocSecurity>
  <Lines>115</Lines>
  <Paragraphs>32</Paragraphs>
  <Company>四川省财政厅</Company>
  <CharactersWithSpaces>16257</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86A7E26-4775-4BD9-B217-6DC88C5965D8}">
  <ds:schemaRefs/>
</ds:datastoreItem>
</file>

<file path=customXml/itemProps2.xml><?xml version="1.0" encoding="utf-8"?>
<ds:datastoreItem xmlns:ds="http://schemas.openxmlformats.org/officeDocument/2006/customXml" ds:itemID="{E0B825FD-5DBB-4BD6-BBDC-6E2515DC7CB3}">
  <ds:schemaRefs/>
</ds:datastoreItem>
</file>

<file path=customXml/itemProps3.xml><?xml version="1.0" encoding="utf-8"?>
<ds:datastoreItem xmlns:ds="http://schemas.openxmlformats.org/officeDocument/2006/customXml" ds:itemID="{C98EF7E7-E301-4C61-9447-59F051DDE8A8}">
  <ds:schemaRefs/>
</ds:datastoreItem>
</file>

<file path=customXml/itemProps4.xml><?xml version="1.0" encoding="utf-8"?>
<ds:datastoreItem xmlns:ds="http://schemas.openxmlformats.org/officeDocument/2006/customXml" ds:itemID="{93E30F82-9095-4C65-9458-2B0AD4F97A14}">
  <ds:schemaRefs/>
</ds:datastoreItem>
</file>

<file path=customXml/itemProps5.xml><?xml version="1.0" encoding="utf-8"?>
<ds:datastoreItem xmlns:ds="http://schemas.openxmlformats.org/officeDocument/2006/customXml" ds:itemID="{92975455-2165-41F3-850D-56F50C902131}">
  <ds:schemaRefs/>
</ds:datastoreItem>
</file>

<file path=customXml/itemProps6.xml><?xml version="1.0" encoding="utf-8"?>
<ds:datastoreItem xmlns:ds="http://schemas.openxmlformats.org/officeDocument/2006/customXml" ds:itemID="{CCA9FA74-BEA4-4A8E-9A26-74BD04EA828B}">
  <ds:schemaRefs/>
</ds:datastoreItem>
</file>

<file path=customXml/itemProps7.xml><?xml version="1.0" encoding="utf-8"?>
<ds:datastoreItem xmlns:ds="http://schemas.openxmlformats.org/officeDocument/2006/customXml" ds:itemID="{53CED6E0-4539-4094-ABBF-3FE625F14E98}">
  <ds:schemaRefs/>
</ds:datastoreItem>
</file>

<file path=customXml/itemProps8.xml><?xml version="1.0" encoding="utf-8"?>
<ds:datastoreItem xmlns:ds="http://schemas.openxmlformats.org/officeDocument/2006/customXml" ds:itemID="{8C3A9EF1-F962-4ABD-9544-BD31BA57EF63}">
  <ds:schemaRefs/>
</ds:datastoreItem>
</file>

<file path=customXml/itemProps9.xml><?xml version="1.0" encoding="utf-8"?>
<ds:datastoreItem xmlns:ds="http://schemas.openxmlformats.org/officeDocument/2006/customXml" ds:itemID="{5345C582-E1FB-47C7-976D-45D8B953DD1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37</Pages>
  <Words>2418</Words>
  <Characters>13785</Characters>
  <Lines>114</Lines>
  <Paragraphs>32</Paragraphs>
  <TotalTime>157269138</TotalTime>
  <ScaleCrop>false</ScaleCrop>
  <LinksUpToDate>false</LinksUpToDate>
  <CharactersWithSpaces>16171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2022-09-06T07:37:00Z</cp:lastPrinted>
  <dcterms:modified xsi:type="dcterms:W3CDTF">2023-06-26T22:51:07Z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E92AE1318E484D7EBF1706F5AAC741CC</vt:lpwstr>
  </property>
</Properties>
</file>