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193"/>
      <w:bookmarkStart w:id="3" w:name="_Toc15377425"/>
      <w:bookmarkStart w:id="4" w:name="_Toc17836"/>
      <w:bookmarkStart w:id="5" w:name="_Toc15396597"/>
      <w:bookmarkStart w:id="6"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4362"/>
      <w:bookmarkStart w:id="8" w:name="_Toc15396476"/>
      <w:bookmarkStart w:id="9" w:name="_Toc15396598"/>
      <w:bookmarkStart w:id="10" w:name="_Toc15377426"/>
      <w:bookmarkStart w:id="11" w:name="_Toc15377194"/>
      <w:bookmarkStart w:id="12" w:name="_Toc15378442"/>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巴中市通江县铁溪镇朱元乡卫生院单位决算</w:t>
      </w:r>
      <w:bookmarkEnd w:id="7"/>
      <w:bookmarkEnd w:id="8"/>
      <w:bookmarkEnd w:id="9"/>
      <w:bookmarkEnd w:id="10"/>
      <w:bookmarkEnd w:id="11"/>
      <w:bookmarkEnd w:id="12"/>
      <w:bookmarkEnd w:id="13"/>
    </w:p>
    <w:p>
      <w:pPr>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14" w:name="_Toc15396599"/>
      <w:bookmarkStart w:id="15" w:name="_Toc15377196"/>
    </w:p>
    <w:sdt>
      <w:sdtPr>
        <w:rPr>
          <w:rFonts w:ascii="宋体" w:hAnsi="宋体"/>
          <w:sz w:val="32"/>
          <w:szCs w:val="32"/>
        </w:rPr>
        <w:id w:val="147463997"/>
        <w:docPartObj>
          <w:docPartGallery w:val="Table of Contents"/>
          <w:docPartUnique/>
        </w:docPartObj>
      </w:sdtPr>
      <w:sdtEndPr>
        <w:rPr>
          <w:rFonts w:ascii="仿宋" w:hAnsi="仿宋" w:eastAsia="仿宋"/>
          <w:b/>
          <w:sz w:val="21"/>
          <w:szCs w:val="24"/>
        </w:rPr>
      </w:sdtEndPr>
      <w:sdtContent>
        <w:p>
          <w:pPr>
            <w:jc w:val="center"/>
            <w:rPr>
              <w:rFonts w:ascii="黑体" w:hAnsi="黑体" w:eastAsia="黑体" w:cs="黑体"/>
              <w:sz w:val="44"/>
              <w:szCs w:val="44"/>
            </w:rPr>
          </w:pPr>
          <w:r>
            <w:rPr>
              <w:rFonts w:hint="eastAsia" w:ascii="黑体" w:hAnsi="黑体" w:eastAsia="黑体" w:cs="黑体"/>
              <w:sz w:val="44"/>
              <w:szCs w:val="44"/>
            </w:rPr>
            <w:t>目录</w:t>
          </w:r>
        </w:p>
        <w:p>
          <w:pPr>
            <w:pStyle w:val="33"/>
            <w:tabs>
              <w:tab w:val="right" w:leader="dot" w:pos="8306"/>
            </w:tabs>
            <w:jc w:val="center"/>
            <w:rPr>
              <w:b/>
            </w:rPr>
          </w:pPr>
          <w:r>
            <w:rPr>
              <w:rFonts w:hint="eastAsia" w:ascii="仿宋_GB2312" w:hAnsi="仿宋_GB2312" w:eastAsia="仿宋_GB2312" w:cs="仿宋_GB2312"/>
              <w:sz w:val="28"/>
              <w:szCs w:val="28"/>
            </w:rPr>
            <w:t>公开时间：2022年8月25日</w:t>
          </w:r>
          <w:r>
            <w:fldChar w:fldCharType="begin"/>
          </w:r>
          <w:r>
            <w:instrText xml:space="preserve">TOC \o "1-2" \h \u</w:instrText>
          </w:r>
          <w:r>
            <w:rPr>
              <w:rFonts w:ascii="仿宋" w:hAnsi="仿宋" w:eastAsia="仿宋"/>
              <w:b/>
              <w:sz w:val="24"/>
            </w:rPr>
            <w:fldChar w:fldCharType="separate"/>
          </w:r>
        </w:p>
        <w:p>
          <w:pPr>
            <w:pStyle w:val="33"/>
            <w:tabs>
              <w:tab w:val="right" w:leader="dot" w:pos="8306"/>
            </w:tabs>
            <w:rPr>
              <w:rFonts w:ascii="宋体" w:hAnsi="宋体" w:cs="宋体"/>
              <w:bCs/>
              <w:sz w:val="24"/>
              <w:szCs w:val="24"/>
            </w:rPr>
          </w:pPr>
        </w:p>
        <w:p>
          <w:pPr>
            <w:pStyle w:val="33"/>
            <w:tabs>
              <w:tab w:val="right" w:leader="dot" w:pos="8306"/>
            </w:tabs>
            <w:rPr>
              <w:rFonts w:ascii="宋体" w:hAnsi="宋体" w:cs="宋体"/>
              <w:bCs/>
              <w:sz w:val="24"/>
              <w:szCs w:val="24"/>
            </w:rPr>
          </w:pPr>
          <w:r>
            <w:fldChar w:fldCharType="begin"/>
          </w:r>
          <w:r>
            <w:instrText xml:space="preserve"> HYPERLINK \l "_Toc3183" </w:instrText>
          </w:r>
          <w:r>
            <w:fldChar w:fldCharType="separate"/>
          </w:r>
          <w:r>
            <w:rPr>
              <w:rFonts w:hint="eastAsia" w:ascii="宋体" w:hAnsi="宋体" w:cs="宋体"/>
              <w:bCs/>
              <w:sz w:val="24"/>
              <w:szCs w:val="24"/>
            </w:rPr>
            <w:t>第一部分 单位概况</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_Toc3183 \h </w:instrText>
          </w:r>
          <w:r>
            <w:rPr>
              <w:rFonts w:hint="eastAsia" w:ascii="宋体" w:hAnsi="宋体" w:cs="宋体"/>
              <w:bCs/>
              <w:sz w:val="24"/>
              <w:szCs w:val="24"/>
            </w:rPr>
            <w:fldChar w:fldCharType="separate"/>
          </w:r>
          <w:r>
            <w:rPr>
              <w:rFonts w:hint="eastAsia" w:ascii="宋体" w:hAnsi="宋体" w:cs="宋体"/>
              <w:bCs/>
              <w:sz w:val="24"/>
              <w:szCs w:val="24"/>
            </w:rPr>
            <w:t>1</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"_Toc29310" </w:instrText>
          </w:r>
          <w:r>
            <w:fldChar w:fldCharType="separate"/>
          </w:r>
          <w:r>
            <w:rPr>
              <w:rFonts w:hint="eastAsia" w:ascii="宋体" w:hAnsi="宋体" w:cs="宋体"/>
              <w:sz w:val="24"/>
              <w:szCs w:val="24"/>
            </w:rPr>
            <w:t>一、职能简介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_Toc29310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"_Toc9560" </w:instrText>
          </w:r>
          <w:r>
            <w:fldChar w:fldCharType="separate"/>
          </w:r>
          <w:r>
            <w:rPr>
              <w:rFonts w:hint="eastAsia" w:ascii="宋体" w:hAnsi="宋体" w:cs="宋体"/>
              <w:sz w:val="24"/>
              <w:szCs w:val="24"/>
            </w:rPr>
            <w:t>二、2021年重点工作完成情况</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_Toc9560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"_Toc22326" </w:instrText>
          </w:r>
          <w:r>
            <w:fldChar w:fldCharType="separate"/>
          </w:r>
          <w:r>
            <w:rPr>
              <w:rFonts w:hint="eastAsia" w:ascii="宋体" w:hAnsi="宋体" w:cs="宋体"/>
              <w:bCs/>
              <w:sz w:val="24"/>
              <w:szCs w:val="24"/>
            </w:rPr>
            <w:t>第二部分 2021年度单位决算情况说明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_Toc22326 \h </w:instrText>
          </w:r>
          <w:r>
            <w:rPr>
              <w:rFonts w:hint="eastAsia" w:ascii="宋体" w:hAnsi="宋体" w:cs="宋体"/>
              <w:bCs/>
              <w:sz w:val="24"/>
              <w:szCs w:val="24"/>
            </w:rPr>
            <w:fldChar w:fldCharType="separate"/>
          </w:r>
          <w:r>
            <w:rPr>
              <w:rFonts w:hint="eastAsia" w:ascii="宋体" w:hAnsi="宋体" w:cs="宋体"/>
              <w:bCs/>
              <w:sz w:val="24"/>
              <w:szCs w:val="24"/>
            </w:rPr>
            <w:t>4</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"_Toc7611" </w:instrText>
          </w:r>
          <w:r>
            <w:fldChar w:fldCharType="separate"/>
          </w:r>
          <w:r>
            <w:rPr>
              <w:rFonts w:hint="eastAsia" w:ascii="宋体" w:hAnsi="宋体" w:cs="宋体"/>
              <w:sz w:val="24"/>
              <w:szCs w:val="24"/>
            </w:rPr>
            <w:t>一、收入支出决算总体情况说明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_Toc7611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"_Toc5265" </w:instrText>
          </w:r>
          <w:r>
            <w:fldChar w:fldCharType="separate"/>
          </w:r>
          <w:r>
            <w:rPr>
              <w:rFonts w:hint="eastAsia" w:ascii="宋体" w:hAnsi="宋体" w:cs="宋体"/>
              <w:sz w:val="24"/>
              <w:szCs w:val="24"/>
            </w:rPr>
            <w:t>二、收入决算情况说明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_Toc5265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"_Toc6096" </w:instrText>
          </w:r>
          <w:r>
            <w:fldChar w:fldCharType="separate"/>
          </w:r>
          <w:r>
            <w:rPr>
              <w:rFonts w:hint="eastAsia" w:ascii="宋体" w:hAnsi="宋体" w:cs="宋体"/>
              <w:sz w:val="24"/>
              <w:szCs w:val="24"/>
            </w:rPr>
            <w:t>三、支出决算情况说明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_Toc6096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"_Toc9754" </w:instrText>
          </w:r>
          <w:r>
            <w:fldChar w:fldCharType="separate"/>
          </w:r>
          <w:r>
            <w:rPr>
              <w:rFonts w:hint="eastAsia" w:ascii="宋体" w:hAnsi="宋体" w:cs="宋体"/>
              <w:sz w:val="24"/>
              <w:szCs w:val="24"/>
            </w:rPr>
            <w:t>四、财政拨款收入支出决算总体情况说明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_Toc9754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"_Toc5760" </w:instrText>
          </w:r>
          <w:r>
            <w:fldChar w:fldCharType="separate"/>
          </w:r>
          <w:r>
            <w:rPr>
              <w:rFonts w:hint="eastAsia" w:ascii="宋体" w:hAnsi="宋体" w:cs="宋体"/>
              <w:sz w:val="24"/>
              <w:szCs w:val="24"/>
            </w:rPr>
            <w:t>五、一般公共预算财政拨款支出决算情况说明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_Toc5760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"_Toc6127" </w:instrText>
          </w:r>
          <w:r>
            <w:fldChar w:fldCharType="separate"/>
          </w:r>
          <w:r>
            <w:rPr>
              <w:rFonts w:hint="eastAsia" w:ascii="宋体" w:hAnsi="宋体" w:cs="宋体"/>
              <w:sz w:val="24"/>
              <w:szCs w:val="24"/>
            </w:rPr>
            <w:t>六、一般公共预算财政拨款基本支出决算情况说明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_Toc6127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"_Toc12514" </w:instrText>
          </w:r>
          <w:r>
            <w:fldChar w:fldCharType="separate"/>
          </w:r>
          <w:r>
            <w:rPr>
              <w:rFonts w:hint="eastAsia" w:ascii="宋体" w:hAnsi="宋体" w:cs="宋体"/>
              <w:sz w:val="24"/>
              <w:szCs w:val="24"/>
            </w:rPr>
            <w:t>七、“三公”经费财政拨款支出决算情况说明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_Toc12514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"_Toc27047" </w:instrText>
          </w:r>
          <w:r>
            <w:fldChar w:fldCharType="separate"/>
          </w:r>
          <w:r>
            <w:rPr>
              <w:rFonts w:hint="eastAsia" w:ascii="宋体" w:hAnsi="宋体" w:cs="宋体"/>
              <w:sz w:val="24"/>
              <w:szCs w:val="24"/>
            </w:rPr>
            <w:t>八、政府性基金预算支出决算情况说明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_Toc27047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"_Toc16747" </w:instrText>
          </w:r>
          <w:r>
            <w:fldChar w:fldCharType="separate"/>
          </w:r>
          <w:r>
            <w:rPr>
              <w:rFonts w:hint="eastAsia" w:ascii="宋体" w:hAnsi="宋体" w:cs="宋体"/>
              <w:sz w:val="24"/>
              <w:szCs w:val="24"/>
            </w:rPr>
            <w:t>九、国有资本经营预算支出决算情况说明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_Toc16747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"_Toc19730" </w:instrText>
          </w:r>
          <w:r>
            <w:fldChar w:fldCharType="separate"/>
          </w:r>
          <w:r>
            <w:rPr>
              <w:rFonts w:hint="eastAsia" w:ascii="宋体" w:hAnsi="宋体" w:cs="宋体"/>
              <w:sz w:val="24"/>
              <w:szCs w:val="24"/>
            </w:rPr>
            <w:t>十、其他重要事项的情况说明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_Toc19730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"_Toc26040" </w:instrText>
          </w:r>
          <w:r>
            <w:fldChar w:fldCharType="separate"/>
          </w:r>
          <w:r>
            <w:rPr>
              <w:rFonts w:hint="eastAsia" w:ascii="宋体" w:hAnsi="宋体" w:cs="宋体"/>
              <w:bCs/>
              <w:sz w:val="24"/>
              <w:szCs w:val="24"/>
            </w:rPr>
            <w:t>第三部分 名词解释</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_Toc26040 \h </w:instrText>
          </w:r>
          <w:r>
            <w:rPr>
              <w:rFonts w:hint="eastAsia" w:ascii="宋体" w:hAnsi="宋体" w:cs="宋体"/>
              <w:bCs/>
              <w:sz w:val="24"/>
              <w:szCs w:val="24"/>
            </w:rPr>
            <w:fldChar w:fldCharType="separate"/>
          </w:r>
          <w:r>
            <w:rPr>
              <w:rFonts w:hint="eastAsia" w:ascii="宋体" w:hAnsi="宋体" w:cs="宋体"/>
              <w:bCs/>
              <w:sz w:val="24"/>
              <w:szCs w:val="24"/>
            </w:rPr>
            <w:t>12</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3"/>
            <w:tabs>
              <w:tab w:val="right" w:leader="dot" w:pos="8306"/>
            </w:tabs>
            <w:rPr>
              <w:rFonts w:ascii="宋体" w:hAnsi="宋体" w:cs="宋体"/>
              <w:b/>
              <w:sz w:val="24"/>
              <w:szCs w:val="24"/>
            </w:rPr>
          </w:pPr>
          <w:r>
            <w:fldChar w:fldCharType="begin"/>
          </w:r>
          <w:r>
            <w:instrText xml:space="preserve"> HYPERLINK \l "_Toc8721" </w:instrText>
          </w:r>
          <w:r>
            <w:fldChar w:fldCharType="separate"/>
          </w:r>
          <w:r>
            <w:rPr>
              <w:rFonts w:hint="eastAsia" w:ascii="宋体" w:hAnsi="宋体" w:cs="宋体"/>
              <w:bCs/>
              <w:sz w:val="24"/>
              <w:szCs w:val="24"/>
            </w:rPr>
            <w:t>第四部分 附件</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_Toc8721 \h </w:instrText>
          </w:r>
          <w:r>
            <w:rPr>
              <w:rFonts w:hint="eastAsia" w:ascii="宋体" w:hAnsi="宋体" w:cs="宋体"/>
              <w:bCs/>
              <w:sz w:val="24"/>
              <w:szCs w:val="24"/>
            </w:rPr>
            <w:fldChar w:fldCharType="separate"/>
          </w:r>
          <w:r>
            <w:rPr>
              <w:rFonts w:hint="eastAsia" w:ascii="宋体" w:hAnsi="宋体" w:cs="宋体"/>
              <w:bCs/>
              <w:sz w:val="24"/>
              <w:szCs w:val="24"/>
            </w:rPr>
            <w:t>17</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"_Toc32335" </w:instrText>
          </w:r>
          <w:r>
            <w:fldChar w:fldCharType="separate"/>
          </w:r>
          <w:r>
            <w:rPr>
              <w:rFonts w:hint="eastAsia" w:ascii="宋体" w:hAnsi="宋体" w:cs="宋体"/>
              <w:sz w:val="24"/>
              <w:szCs w:val="24"/>
            </w:rPr>
            <w:t>附件1</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_Toc32335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33"/>
            <w:tabs>
              <w:tab w:val="right" w:leader="dot" w:pos="8306"/>
            </w:tabs>
            <w:rPr>
              <w:rFonts w:ascii="宋体" w:hAnsi="宋体" w:cs="宋体"/>
              <w:bCs/>
              <w:sz w:val="24"/>
              <w:szCs w:val="24"/>
            </w:rPr>
          </w:pPr>
          <w:r>
            <w:fldChar w:fldCharType="begin"/>
          </w:r>
          <w:r>
            <w:instrText xml:space="preserve"> HYPERLINK \l "_Toc8886" </w:instrText>
          </w:r>
          <w:r>
            <w:fldChar w:fldCharType="separate"/>
          </w:r>
          <w:r>
            <w:rPr>
              <w:rFonts w:hint="eastAsia" w:ascii="宋体" w:hAnsi="宋体" w:cs="宋体"/>
              <w:bCs/>
              <w:sz w:val="24"/>
              <w:szCs w:val="24"/>
            </w:rPr>
            <w:t>第五部分 附表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_Toc8886 \h </w:instrText>
          </w:r>
          <w:r>
            <w:rPr>
              <w:rFonts w:hint="eastAsia" w:ascii="宋体" w:hAnsi="宋体" w:cs="宋体"/>
              <w:bCs/>
              <w:sz w:val="24"/>
              <w:szCs w:val="24"/>
            </w:rPr>
            <w:fldChar w:fldCharType="separate"/>
          </w:r>
          <w:r>
            <w:rPr>
              <w:rFonts w:hint="eastAsia" w:ascii="宋体" w:hAnsi="宋体" w:cs="宋体"/>
              <w:bCs/>
              <w:sz w:val="24"/>
              <w:szCs w:val="24"/>
            </w:rPr>
            <w:t>19</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"_Toc17354" </w:instrText>
          </w:r>
          <w:r>
            <w:fldChar w:fldCharType="separate"/>
          </w:r>
          <w:r>
            <w:rPr>
              <w:rFonts w:hint="eastAsia" w:ascii="宋体" w:hAnsi="宋体" w:cs="宋体"/>
              <w:sz w:val="24"/>
              <w:szCs w:val="24"/>
            </w:rPr>
            <w:t>一、收入支出决算总表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_Toc17354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"_Toc18598" </w:instrText>
          </w:r>
          <w:r>
            <w:fldChar w:fldCharType="separate"/>
          </w:r>
          <w:r>
            <w:rPr>
              <w:rFonts w:hint="eastAsia" w:ascii="宋体" w:hAnsi="宋体" w:cs="宋体"/>
              <w:sz w:val="24"/>
              <w:szCs w:val="24"/>
            </w:rPr>
            <w:t>二、收入决算表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_Toc18598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"_Toc2299" </w:instrText>
          </w:r>
          <w:r>
            <w:fldChar w:fldCharType="separate"/>
          </w:r>
          <w:r>
            <w:rPr>
              <w:rFonts w:hint="eastAsia" w:ascii="宋体" w:hAnsi="宋体" w:cs="宋体"/>
              <w:sz w:val="24"/>
              <w:szCs w:val="24"/>
            </w:rPr>
            <w:t>三、支出决算表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_Toc2299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"_Toc1459" </w:instrText>
          </w:r>
          <w:r>
            <w:fldChar w:fldCharType="separate"/>
          </w:r>
          <w:r>
            <w:rPr>
              <w:rFonts w:hint="eastAsia" w:ascii="宋体" w:hAnsi="宋体" w:cs="宋体"/>
              <w:sz w:val="24"/>
              <w:szCs w:val="24"/>
            </w:rPr>
            <w:t>四、财政拨款收入支出决算总表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_Toc1459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"_Toc5905" </w:instrText>
          </w:r>
          <w:r>
            <w:fldChar w:fldCharType="separate"/>
          </w:r>
          <w:r>
            <w:rPr>
              <w:rFonts w:hint="eastAsia" w:ascii="宋体" w:hAnsi="宋体" w:cs="宋体"/>
              <w:sz w:val="24"/>
              <w:szCs w:val="24"/>
            </w:rPr>
            <w:t>五、财政拨款支出决算明细表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_Toc5905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"_Toc19028" </w:instrText>
          </w:r>
          <w:r>
            <w:fldChar w:fldCharType="separate"/>
          </w:r>
          <w:r>
            <w:rPr>
              <w:rFonts w:hint="eastAsia" w:ascii="宋体" w:hAnsi="宋体" w:cs="宋体"/>
              <w:sz w:val="24"/>
              <w:szCs w:val="24"/>
            </w:rPr>
            <w:t>六、一般公共预算财政拨款支出决算表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_Toc19028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"_Toc16552" </w:instrText>
          </w:r>
          <w:r>
            <w:fldChar w:fldCharType="separate"/>
          </w:r>
          <w:r>
            <w:rPr>
              <w:rFonts w:hint="eastAsia" w:ascii="宋体" w:hAnsi="宋体" w:cs="宋体"/>
              <w:sz w:val="24"/>
              <w:szCs w:val="24"/>
            </w:rPr>
            <w:t>七、一般公共预算财政拨款支出决算明细表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_Toc16552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"_Toc6853" </w:instrText>
          </w:r>
          <w:r>
            <w:fldChar w:fldCharType="separate"/>
          </w:r>
          <w:r>
            <w:rPr>
              <w:rFonts w:hint="eastAsia" w:ascii="宋体" w:hAnsi="宋体" w:cs="宋体"/>
              <w:sz w:val="24"/>
              <w:szCs w:val="24"/>
            </w:rPr>
            <w:t>八、一般公共预算财政拨款基本支出决算表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"_Toc19663" </w:instrText>
          </w:r>
          <w:r>
            <w:fldChar w:fldCharType="separate"/>
          </w:r>
          <w:r>
            <w:rPr>
              <w:rFonts w:hint="eastAsia" w:ascii="宋体" w:hAnsi="宋体" w:cs="宋体"/>
              <w:sz w:val="24"/>
              <w:szCs w:val="24"/>
            </w:rPr>
            <w:t>九、一般公共预算财政拨款项目支出决算表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_Toc19663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"_Toc20094" </w:instrText>
          </w:r>
          <w:r>
            <w:fldChar w:fldCharType="separate"/>
          </w:r>
          <w:r>
            <w:rPr>
              <w:rFonts w:hint="eastAsia" w:ascii="宋体" w:hAnsi="宋体" w:cs="宋体"/>
              <w:sz w:val="24"/>
              <w:szCs w:val="24"/>
            </w:rPr>
            <w:t>十、一般公共预算财政拨款“三公”经费支出决算表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_Toc20094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"_Toc14142" </w:instrText>
          </w:r>
          <w:r>
            <w:fldChar w:fldCharType="separate"/>
          </w:r>
          <w:r>
            <w:rPr>
              <w:rFonts w:hint="eastAsia" w:ascii="宋体" w:hAnsi="宋体" w:cs="宋体"/>
              <w:sz w:val="24"/>
              <w:szCs w:val="24"/>
            </w:rPr>
            <w:t>十一、政府性基金预算财政拨款收入支出决算表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_Toc14142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"_Toc21509" </w:instrText>
          </w:r>
          <w:r>
            <w:fldChar w:fldCharType="separate"/>
          </w:r>
          <w:r>
            <w:rPr>
              <w:rFonts w:hint="eastAsia" w:ascii="宋体" w:hAnsi="宋体" w:cs="宋体"/>
              <w:sz w:val="24"/>
              <w:szCs w:val="24"/>
            </w:rPr>
            <w:t>十二、政府性基金预算财政拨款“三公”经费支出决算表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_Toc21509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rPr>
              <w:rFonts w:ascii="宋体" w:hAnsi="宋体" w:cs="宋体"/>
              <w:sz w:val="24"/>
              <w:szCs w:val="24"/>
            </w:rPr>
          </w:pPr>
          <w:r>
            <w:fldChar w:fldCharType="begin"/>
          </w:r>
          <w:r>
            <w:instrText xml:space="preserve"> HYPERLINK \l "_Toc22345" </w:instrText>
          </w:r>
          <w:r>
            <w:fldChar w:fldCharType="separate"/>
          </w:r>
          <w:r>
            <w:rPr>
              <w:rFonts w:hint="eastAsia" w:ascii="宋体" w:hAnsi="宋体" w:cs="宋体"/>
              <w:sz w:val="24"/>
              <w:szCs w:val="24"/>
            </w:rPr>
            <w:t>十三、国有资本经营预算财政拨款收入支出决算表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_Toc22345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34"/>
            <w:tabs>
              <w:tab w:val="right" w:leader="dot" w:pos="8306"/>
            </w:tabs>
            <w:ind w:left="420"/>
          </w:pPr>
          <w:r>
            <w:fldChar w:fldCharType="begin"/>
          </w:r>
          <w:r>
            <w:instrText xml:space="preserve"> HYPERLINK \l "_Toc25764" </w:instrText>
          </w:r>
          <w:r>
            <w:fldChar w:fldCharType="separate"/>
          </w:r>
          <w:r>
            <w:rPr>
              <w:rFonts w:hint="eastAsia" w:ascii="宋体" w:hAnsi="宋体" w:cs="宋体"/>
              <w:sz w:val="24"/>
              <w:szCs w:val="24"/>
            </w:rPr>
            <w:t>十四、国有资本经营预算财政拨款支出决算表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_Toc25764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widowControl/>
            <w:spacing w:line="440" w:lineRule="exact"/>
            <w:jc w:val="left"/>
            <w:rPr>
              <w:rFonts w:ascii="仿宋" w:hAnsi="仿宋" w:eastAsia="仿宋"/>
              <w:b/>
              <w:sz w:val="24"/>
            </w:rPr>
          </w:pPr>
          <w:r>
            <w:rPr>
              <w:rFonts w:ascii="仿宋" w:hAnsi="仿宋" w:eastAsia="仿宋"/>
              <w:b/>
            </w:rPr>
            <w:fldChar w:fldCharType="end"/>
          </w:r>
        </w:p>
      </w:sdtContent>
    </w:sdt>
    <w:p>
      <w:pPr>
        <w:pStyle w:val="11"/>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6" w:name="_Toc3183"/>
    </w:p>
    <w:p>
      <w:pPr>
        <w:pStyle w:val="11"/>
        <w:jc w:val="center"/>
        <w:rPr>
          <w:rStyle w:val="27"/>
          <w:rFonts w:ascii="黑体" w:hAnsi="黑体" w:eastAsia="黑体"/>
          <w:b/>
          <w:bCs w:val="0"/>
        </w:rPr>
      </w:pPr>
      <w:r>
        <w:rPr>
          <w:rFonts w:hint="eastAsia" w:ascii="黑体" w:hAnsi="黑体" w:eastAsia="黑体"/>
          <w:b w:val="0"/>
        </w:rPr>
        <w:t>第一部分单位</w:t>
      </w:r>
      <w:r>
        <w:rPr>
          <w:rStyle w:val="27"/>
          <w:rFonts w:hint="eastAsia" w:ascii="黑体" w:hAnsi="黑体" w:eastAsia="黑体"/>
          <w:b w:val="0"/>
          <w:bCs w:val="0"/>
        </w:rPr>
        <w:t>概况</w:t>
      </w:r>
      <w:bookmarkEnd w:id="14"/>
      <w:bookmarkEnd w:id="15"/>
      <w:bookmarkEnd w:id="16"/>
    </w:p>
    <w:p>
      <w:pPr>
        <w:pStyle w:val="12"/>
        <w:spacing w:before="0" w:after="0" w:line="560" w:lineRule="exact"/>
        <w:ind w:firstLine="640" w:firstLineChars="200"/>
        <w:rPr>
          <w:rStyle w:val="28"/>
          <w:rFonts w:ascii="黑体" w:hAnsi="黑体" w:eastAsia="黑体"/>
          <w:b w:val="0"/>
          <w:bCs w:val="0"/>
        </w:rPr>
      </w:pPr>
      <w:bookmarkStart w:id="17" w:name="_Toc29310"/>
      <w:bookmarkStart w:id="18" w:name="_Toc15377197"/>
      <w:bookmarkStart w:id="19" w:name="_Toc15396600"/>
      <w:r>
        <w:rPr>
          <w:rStyle w:val="28"/>
          <w:rFonts w:hint="eastAsia" w:ascii="黑体" w:hAnsi="黑体" w:eastAsia="黑体"/>
          <w:b w:val="0"/>
          <w:bCs w:val="0"/>
        </w:rPr>
        <w:t>一、职能简介</w:t>
      </w:r>
      <w:bookmarkEnd w:id="17"/>
    </w:p>
    <w:p>
      <w:pPr>
        <w:spacing w:line="560" w:lineRule="exact"/>
        <w:ind w:firstLine="640" w:firstLineChars="200"/>
      </w:pPr>
      <w:r>
        <w:rPr>
          <w:rFonts w:hint="eastAsia" w:ascii="仿宋" w:hAnsi="仿宋" w:eastAsia="仿宋" w:cs="仿宋"/>
          <w:color w:val="000000"/>
          <w:kern w:val="0"/>
          <w:sz w:val="32"/>
          <w:szCs w:val="32"/>
        </w:rPr>
        <w:t>通江县铁溪镇朱元乡卫生院负责辖区内常见病、多发病的诊治、护理、院前急救、巡回医疗，辖区内疾病控制，妇幼保健，健康教育，计划免疫工作，承担乡村医生、卫生员和接生员业务培训与技术指导，负责初级卫生保健的规划实施，新型农村合作医疗的组织与管理，卫生监督与卫生信息的管理工作</w:t>
      </w:r>
      <w:r>
        <w:t>。</w:t>
      </w:r>
    </w:p>
    <w:p>
      <w:pPr>
        <w:pStyle w:val="12"/>
        <w:spacing w:before="0" w:after="0" w:line="560" w:lineRule="exact"/>
        <w:ind w:firstLine="640" w:firstLineChars="200"/>
        <w:rPr>
          <w:rFonts w:ascii="黑体" w:hAnsi="黑体" w:eastAsia="黑体"/>
          <w:b w:val="0"/>
        </w:rPr>
      </w:pPr>
      <w:bookmarkStart w:id="20" w:name="_Toc9560"/>
      <w:r>
        <w:rPr>
          <w:rFonts w:hint="eastAsia" w:ascii="黑体" w:hAnsi="黑体" w:eastAsia="黑体"/>
          <w:b w:val="0"/>
        </w:rPr>
        <w:t>二、2021年重点工作</w:t>
      </w:r>
      <w:bookmarkEnd w:id="18"/>
      <w:bookmarkEnd w:id="19"/>
      <w:r>
        <w:rPr>
          <w:rFonts w:hint="eastAsia" w:ascii="黑体" w:hAnsi="黑体" w:eastAsia="黑体"/>
          <w:b w:val="0"/>
        </w:rPr>
        <w:t>完成情况</w:t>
      </w:r>
      <w:bookmarkEnd w:id="20"/>
    </w:p>
    <w:p>
      <w:pPr>
        <w:spacing w:line="560" w:lineRule="exact"/>
        <w:ind w:firstLine="643" w:firstLineChars="200"/>
        <w:outlineLvl w:val="1"/>
        <w:rPr>
          <w:rFonts w:ascii="仿宋" w:hAnsi="仿宋" w:eastAsia="仿宋" w:cs="仿宋"/>
          <w:b/>
          <w:bCs/>
          <w:sz w:val="32"/>
          <w:szCs w:val="32"/>
        </w:rPr>
      </w:pPr>
      <w:bookmarkStart w:id="21" w:name="_Toc29479"/>
      <w:bookmarkStart w:id="22" w:name="_Toc15141"/>
      <w:r>
        <w:rPr>
          <w:rFonts w:hint="eastAsia" w:ascii="仿宋" w:hAnsi="仿宋" w:eastAsia="仿宋" w:cs="仿宋"/>
          <w:b/>
          <w:bCs/>
          <w:sz w:val="32"/>
          <w:szCs w:val="32"/>
        </w:rPr>
        <w:t>1</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医疗业务收入完成情况。</w:t>
      </w:r>
      <w:bookmarkEnd w:id="21"/>
      <w:bookmarkEnd w:id="2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截至12月20日，我院门诊人数9260 人次，与上年相比增加29%；住院病人321人次，与上年相比下降20%；业务总收入175.29万元（其中：门诊收入110.09万元，住院收入63.2万元），与上年相比上升41%；平均住院日5天，住院病床使用率达85%。</w:t>
      </w:r>
    </w:p>
    <w:p>
      <w:pPr>
        <w:spacing w:line="560" w:lineRule="exact"/>
        <w:ind w:firstLine="643" w:firstLineChars="200"/>
        <w:outlineLvl w:val="1"/>
        <w:rPr>
          <w:rFonts w:ascii="仿宋" w:hAnsi="仿宋" w:eastAsia="仿宋" w:cs="仿宋"/>
          <w:b/>
          <w:bCs/>
          <w:sz w:val="32"/>
          <w:szCs w:val="32"/>
        </w:rPr>
      </w:pPr>
      <w:bookmarkStart w:id="23" w:name="_Toc29717"/>
      <w:bookmarkStart w:id="24" w:name="_Toc22101"/>
      <w:r>
        <w:rPr>
          <w:rFonts w:hint="eastAsia" w:ascii="仿宋" w:hAnsi="仿宋" w:eastAsia="仿宋" w:cs="仿宋"/>
          <w:b/>
          <w:bCs/>
          <w:sz w:val="32"/>
          <w:szCs w:val="32"/>
        </w:rPr>
        <w:t>2</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加强党风廉政建设筑牢思想防线。</w:t>
      </w:r>
      <w:bookmarkEnd w:id="23"/>
      <w:bookmarkEnd w:id="24"/>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以中央、省、市全会精神为抓手，督促干部职工树立正确的人生观目标，利用例会抓好党纪法规及警示案例等党风廉政教育，全面提升了党员干部思想政治素质，坚定了政治理想信念。使全院干部职工的宗旨意识、廉洁意识、自律意识得到明显提高；</w:t>
      </w:r>
      <w:r>
        <w:rPr>
          <w:rFonts w:hint="eastAsia" w:ascii="仿宋" w:hAnsi="仿宋" w:eastAsia="仿宋" w:cs="仿宋"/>
          <w:b/>
          <w:bCs/>
          <w:sz w:val="32"/>
          <w:szCs w:val="32"/>
        </w:rPr>
        <w:t>二是</w:t>
      </w:r>
      <w:r>
        <w:rPr>
          <w:rFonts w:hint="eastAsia" w:ascii="仿宋" w:hAnsi="仿宋" w:eastAsia="仿宋" w:cs="仿宋"/>
          <w:sz w:val="32"/>
          <w:szCs w:val="32"/>
        </w:rPr>
        <w:t>组织干部职工召开专题会议认真学习了党的十九届六中全会精神和巴中市第五次党代会和县第十四次党代会精神；</w:t>
      </w:r>
      <w:r>
        <w:rPr>
          <w:rFonts w:hint="eastAsia" w:ascii="仿宋" w:hAnsi="仿宋" w:eastAsia="仿宋" w:cs="仿宋"/>
          <w:b/>
          <w:bCs/>
          <w:sz w:val="32"/>
          <w:szCs w:val="32"/>
        </w:rPr>
        <w:t>三是</w:t>
      </w:r>
      <w:r>
        <w:rPr>
          <w:rFonts w:hint="eastAsia" w:ascii="仿宋" w:hAnsi="仿宋" w:eastAsia="仿宋" w:cs="仿宋"/>
          <w:sz w:val="32"/>
          <w:szCs w:val="32"/>
        </w:rPr>
        <w:t>院内干部职工利用“学习强国”“云上通江”手机APP，不断加强党政、时事等学习。不断加强廉政教育，筑牢干部思想防线。</w:t>
      </w:r>
    </w:p>
    <w:p>
      <w:pPr>
        <w:spacing w:line="560" w:lineRule="exact"/>
        <w:ind w:left="630"/>
        <w:outlineLvl w:val="1"/>
        <w:rPr>
          <w:rFonts w:ascii="仿宋" w:hAnsi="仿宋" w:eastAsia="仿宋" w:cs="仿宋"/>
          <w:b/>
          <w:bCs/>
          <w:sz w:val="32"/>
          <w:szCs w:val="32"/>
        </w:rPr>
      </w:pPr>
      <w:bookmarkStart w:id="25" w:name="_Toc13692"/>
      <w:bookmarkStart w:id="26" w:name="_Toc2024"/>
      <w:r>
        <w:rPr>
          <w:rFonts w:hint="eastAsia" w:ascii="仿宋" w:hAnsi="仿宋" w:eastAsia="仿宋" w:cs="仿宋"/>
          <w:b/>
          <w:bCs/>
          <w:sz w:val="32"/>
          <w:szCs w:val="32"/>
        </w:rPr>
        <w:t>3</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全面开展新冠肺炎防控工作。</w:t>
      </w:r>
      <w:bookmarkEnd w:id="25"/>
      <w:bookmarkEnd w:id="26"/>
    </w:p>
    <w:p>
      <w:pPr>
        <w:spacing w:line="560" w:lineRule="exact"/>
        <w:ind w:firstLine="640"/>
        <w:rPr>
          <w:rFonts w:ascii="仿宋" w:hAnsi="仿宋" w:eastAsia="仿宋" w:cs="仿宋"/>
          <w:sz w:val="32"/>
          <w:szCs w:val="32"/>
        </w:rPr>
      </w:pPr>
      <w:r>
        <w:rPr>
          <w:rFonts w:hint="eastAsia" w:ascii="仿宋" w:hAnsi="仿宋" w:eastAsia="仿宋" w:cs="仿宋"/>
          <w:sz w:val="32"/>
          <w:szCs w:val="32"/>
        </w:rPr>
        <w:t>自新型冠状病毒感染的肺炎疫情发生以来，我院迅速反应，周密安排，认真贯彻落实中央、省、市、区和镇政府关于疫情防控工作相关部署和会议精神，及时落实各项防控措施。我镇未发生（发现）一例新冠肺炎感染患者。</w:t>
      </w:r>
      <w:r>
        <w:rPr>
          <w:rFonts w:hint="eastAsia" w:ascii="仿宋" w:hAnsi="仿宋" w:eastAsia="仿宋" w:cs="仿宋"/>
          <w:b/>
          <w:bCs/>
          <w:sz w:val="32"/>
          <w:szCs w:val="32"/>
        </w:rPr>
        <w:t>一是</w:t>
      </w:r>
      <w:r>
        <w:rPr>
          <w:rFonts w:hint="eastAsia" w:ascii="仿宋" w:hAnsi="仿宋" w:eastAsia="仿宋" w:cs="仿宋"/>
          <w:sz w:val="32"/>
          <w:szCs w:val="32"/>
        </w:rPr>
        <w:t>高度重视。我院把疫情防控工作作为一项政治任务，成立了新冠肺炎疫情防控工作领导小组，带领全院职工全力以赴，群策群力，把防控工作有效落实。</w:t>
      </w:r>
      <w:r>
        <w:rPr>
          <w:rFonts w:hint="eastAsia" w:ascii="仿宋" w:hAnsi="仿宋" w:eastAsia="仿宋" w:cs="仿宋"/>
          <w:b/>
          <w:bCs/>
          <w:sz w:val="32"/>
          <w:szCs w:val="32"/>
        </w:rPr>
        <w:t>二是</w:t>
      </w:r>
      <w:r>
        <w:rPr>
          <w:rFonts w:hint="eastAsia" w:ascii="仿宋" w:hAnsi="仿宋" w:eastAsia="仿宋" w:cs="仿宋"/>
          <w:sz w:val="32"/>
          <w:szCs w:val="32"/>
        </w:rPr>
        <w:t>组织学习。</w:t>
      </w:r>
      <w:r>
        <w:rPr>
          <w:rFonts w:hint="eastAsia" w:ascii="仿宋" w:hAnsi="仿宋" w:eastAsia="仿宋" w:cs="仿宋"/>
          <w:b/>
          <w:bCs/>
          <w:sz w:val="32"/>
          <w:szCs w:val="32"/>
        </w:rPr>
        <w:t>三是</w:t>
      </w:r>
      <w:r>
        <w:rPr>
          <w:rFonts w:hint="eastAsia" w:ascii="仿宋" w:hAnsi="仿宋" w:eastAsia="仿宋" w:cs="仿宋"/>
          <w:sz w:val="32"/>
          <w:szCs w:val="32"/>
        </w:rPr>
        <w:t>按防控设置要求，完善了预检分诊、落实了发热哨点诊室、建立了“双通道”。</w:t>
      </w:r>
      <w:r>
        <w:rPr>
          <w:rFonts w:hint="eastAsia" w:ascii="仿宋" w:hAnsi="仿宋" w:eastAsia="仿宋" w:cs="仿宋"/>
          <w:b/>
          <w:bCs/>
          <w:sz w:val="32"/>
          <w:szCs w:val="32"/>
        </w:rPr>
        <w:t>四是</w:t>
      </w:r>
      <w:r>
        <w:rPr>
          <w:rFonts w:hint="eastAsia" w:ascii="仿宋" w:hAnsi="仿宋" w:eastAsia="仿宋" w:cs="仿宋"/>
          <w:sz w:val="32"/>
          <w:szCs w:val="32"/>
        </w:rPr>
        <w:t>对高风险地区返乡人员进行随访和核酸采样工作，今年主要是对新疆、成都、西安等高风险区返乡人员进行了全面排查随访并进行了核酸采样。</w:t>
      </w:r>
      <w:r>
        <w:rPr>
          <w:rFonts w:hint="eastAsia" w:ascii="仿宋" w:hAnsi="仿宋" w:eastAsia="仿宋" w:cs="仿宋"/>
          <w:b/>
          <w:bCs/>
          <w:sz w:val="32"/>
          <w:szCs w:val="32"/>
        </w:rPr>
        <w:t>五是</w:t>
      </w:r>
      <w:r>
        <w:rPr>
          <w:rFonts w:hint="eastAsia" w:ascii="仿宋" w:hAnsi="仿宋" w:eastAsia="仿宋" w:cs="仿宋"/>
          <w:sz w:val="32"/>
          <w:szCs w:val="32"/>
        </w:rPr>
        <w:t>医院实行门禁制度，对就诊患者进行“两码”管理并进行流行病学调查；对住院患者及陪护人员做到核酸应检必检，对门诊患者进行告知并按要求进行核酸检测。</w:t>
      </w:r>
    </w:p>
    <w:p>
      <w:pPr>
        <w:spacing w:line="560" w:lineRule="exact"/>
        <w:ind w:left="420" w:leftChars="200" w:firstLine="321" w:firstLineChars="100"/>
        <w:outlineLvl w:val="1"/>
        <w:rPr>
          <w:rFonts w:ascii="仿宋" w:hAnsi="仿宋" w:eastAsia="仿宋" w:cs="仿宋"/>
          <w:b/>
          <w:bCs/>
          <w:sz w:val="32"/>
          <w:szCs w:val="32"/>
        </w:rPr>
      </w:pPr>
      <w:bookmarkStart w:id="27" w:name="_Toc24327"/>
      <w:bookmarkStart w:id="28" w:name="_Toc2519"/>
      <w:r>
        <w:rPr>
          <w:rFonts w:hint="eastAsia" w:ascii="仿宋" w:hAnsi="仿宋" w:eastAsia="仿宋" w:cs="仿宋"/>
          <w:b/>
          <w:bCs/>
          <w:sz w:val="32"/>
          <w:szCs w:val="32"/>
        </w:rPr>
        <w:t>4</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加强医疗卫生行风建设，提高群众满意度。</w:t>
      </w:r>
      <w:bookmarkEnd w:id="27"/>
      <w:bookmarkEnd w:id="28"/>
    </w:p>
    <w:p>
      <w:pPr>
        <w:spacing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今年我院以“大处方、泛耗材”突出问题系统治理和规范使用医保基金为重点，持续加强行风建设，根据上级要求，结合我院实际，明确提出了工作要求。以规范诊疗行为，提高医疗质量，改善服务态度为主要内容，强化教育，完善制度、加强监管，严肃行业纪律，进一步遏制损害群众利益的行为，实现了工作作风明显好转、服务水平明显提升，工作效能明显增强，发展环境明显优化、群众满意度明显提高。</w:t>
      </w:r>
    </w:p>
    <w:p>
      <w:pPr>
        <w:spacing w:line="560" w:lineRule="exact"/>
        <w:ind w:firstLine="643" w:firstLineChars="200"/>
        <w:outlineLvl w:val="1"/>
        <w:rPr>
          <w:rFonts w:ascii="仿宋" w:hAnsi="仿宋" w:eastAsia="仿宋" w:cs="仿宋"/>
          <w:b/>
          <w:bCs/>
          <w:sz w:val="32"/>
          <w:szCs w:val="32"/>
        </w:rPr>
      </w:pPr>
      <w:bookmarkStart w:id="29" w:name="_Toc24213"/>
      <w:bookmarkStart w:id="30" w:name="_Toc27527"/>
      <w:r>
        <w:rPr>
          <w:rFonts w:hint="eastAsia" w:ascii="仿宋" w:hAnsi="仿宋" w:eastAsia="仿宋" w:cs="仿宋"/>
          <w:b/>
          <w:bCs/>
          <w:sz w:val="32"/>
          <w:szCs w:val="32"/>
        </w:rPr>
        <w:t>5</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扎实推进实施基本公共卫生服务项目。</w:t>
      </w:r>
      <w:bookmarkEnd w:id="29"/>
      <w:bookmarkEnd w:id="3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共为全镇4个建制村4142人建立了健康档案，居民健康档案建档率为97%，全镇累计筛查出慢性病病人203人，慢性病管理率达100%。儿童系统管理率97%，孕产妇系统管理率98%，高危孕产妇管理率100%;1-12月份疫苗接种率100%，召开乡村医生例会6次，开展卫生法律法规及预防接种相关知识培训2次，乡村医生业务理论知识测试6次。1-12月份卫生院开展健康教育知识讲座12期，健康教育咨询活动13期，累计发放健康教育宣传材料13种2170份，累计接受咨询853余人次。</w:t>
      </w:r>
    </w:p>
    <w:p>
      <w:pPr>
        <w:spacing w:line="560" w:lineRule="exact"/>
        <w:ind w:firstLine="643" w:firstLineChars="200"/>
        <w:outlineLvl w:val="1"/>
        <w:rPr>
          <w:rFonts w:ascii="仿宋" w:hAnsi="仿宋" w:eastAsia="仿宋" w:cs="仿宋"/>
          <w:b/>
          <w:bCs/>
          <w:sz w:val="32"/>
          <w:szCs w:val="32"/>
        </w:rPr>
      </w:pPr>
      <w:bookmarkStart w:id="31" w:name="_Toc28895"/>
      <w:bookmarkStart w:id="32" w:name="_Toc14300"/>
      <w:r>
        <w:rPr>
          <w:rFonts w:hint="eastAsia" w:ascii="仿宋" w:hAnsi="仿宋" w:eastAsia="仿宋" w:cs="仿宋"/>
          <w:b/>
          <w:bCs/>
          <w:sz w:val="32"/>
          <w:szCs w:val="32"/>
        </w:rPr>
        <w:t>6</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全覆盖做好家庭医生签约服务。</w:t>
      </w:r>
      <w:bookmarkEnd w:id="31"/>
      <w:bookmarkEnd w:id="3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我院成立了由医生、护士、村医组建的</w:t>
      </w:r>
      <w:r>
        <w:rPr>
          <w:rFonts w:hint="eastAsia" w:ascii="仿宋" w:hAnsi="仿宋" w:eastAsia="仿宋" w:cs="仿宋"/>
          <w:sz w:val="32"/>
          <w:szCs w:val="32"/>
          <w:u w:val="none" w:color="46CD7E"/>
          <w:shd w:val="clear" w:fill="auto"/>
          <w:lang w:eastAsia="zh-CN"/>
        </w:rPr>
        <w:t>1支</w:t>
      </w:r>
      <w:r>
        <w:rPr>
          <w:rFonts w:hint="eastAsia" w:ascii="仿宋" w:hAnsi="仿宋" w:eastAsia="仿宋" w:cs="仿宋"/>
          <w:sz w:val="32"/>
          <w:szCs w:val="32"/>
        </w:rPr>
        <w:t>家庭医生签约服务团队，积极开展家庭医生签约服务工作，采取全覆盖宣传、上门服务的方式，做到家喻户晓，结合团队自身服务能力，明确服务内容，有效满足居民健康需求。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截至2021年12月20日，我镇常住人口签约3523人，签约率85%，重点人群签约650人，签约率100%，贫困人口签约941人，签约服务覆盖率100%。</w:t>
      </w:r>
    </w:p>
    <w:p>
      <w:pPr>
        <w:spacing w:line="560" w:lineRule="exact"/>
        <w:ind w:firstLine="643" w:firstLineChars="200"/>
        <w:outlineLvl w:val="1"/>
        <w:rPr>
          <w:rFonts w:ascii="仿宋" w:hAnsi="仿宋" w:eastAsia="仿宋" w:cs="仿宋"/>
          <w:b/>
          <w:bCs/>
          <w:sz w:val="32"/>
          <w:szCs w:val="32"/>
        </w:rPr>
      </w:pPr>
      <w:bookmarkStart w:id="33" w:name="_Toc12321"/>
      <w:bookmarkStart w:id="34" w:name="_Toc19849"/>
      <w:r>
        <w:rPr>
          <w:rFonts w:hint="eastAsia" w:ascii="仿宋" w:hAnsi="仿宋" w:eastAsia="仿宋" w:cs="仿宋"/>
          <w:b/>
          <w:bCs/>
          <w:sz w:val="32"/>
          <w:szCs w:val="32"/>
        </w:rPr>
        <w:t>7</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做好</w:t>
      </w:r>
      <w:r>
        <w:rPr>
          <w:rFonts w:hint="eastAsia" w:ascii="仿宋" w:hAnsi="仿宋" w:eastAsia="仿宋" w:cs="仿宋"/>
          <w:b/>
          <w:bCs/>
          <w:sz w:val="32"/>
          <w:szCs w:val="32"/>
          <w:u w:val="none" w:color="46CD7E"/>
          <w:shd w:val="clear" w:fill="auto"/>
          <w:lang w:eastAsia="zh-CN"/>
        </w:rPr>
        <w:t>中医药</w:t>
      </w:r>
      <w:r>
        <w:rPr>
          <w:rFonts w:hint="eastAsia" w:ascii="仿宋" w:hAnsi="仿宋" w:eastAsia="仿宋" w:cs="仿宋"/>
          <w:b/>
          <w:bCs/>
          <w:sz w:val="32"/>
          <w:szCs w:val="32"/>
        </w:rPr>
        <w:t>创建，提升中医药服务能力。</w:t>
      </w:r>
      <w:bookmarkEnd w:id="33"/>
      <w:bookmarkEnd w:id="34"/>
    </w:p>
    <w:p>
      <w:pPr>
        <w:spacing w:line="560" w:lineRule="exact"/>
      </w:pPr>
    </w:p>
    <w:p>
      <w:pPr>
        <w:widowControl/>
        <w:jc w:val="left"/>
        <w:rPr>
          <w:rFonts w:ascii="仿宋" w:hAnsi="仿宋" w:eastAsia="仿宋"/>
          <w:kern w:val="0"/>
          <w:sz w:val="32"/>
          <w:szCs w:val="32"/>
        </w:rPr>
      </w:pPr>
      <w:r>
        <w:br w:type="page"/>
      </w:r>
    </w:p>
    <w:p>
      <w:pPr>
        <w:pStyle w:val="11"/>
        <w:ind w:right="440"/>
        <w:jc w:val="center"/>
        <w:rPr>
          <w:rStyle w:val="27"/>
          <w:rFonts w:ascii="黑体" w:hAnsi="黑体" w:eastAsia="黑体"/>
          <w:b w:val="0"/>
          <w:bCs/>
        </w:rPr>
      </w:pPr>
      <w:bookmarkStart w:id="35" w:name="_Toc15377204"/>
      <w:bookmarkStart w:id="36" w:name="_Toc22326"/>
      <w:bookmarkStart w:id="37" w:name="_Toc15396602"/>
      <w:r>
        <w:rPr>
          <w:rFonts w:hint="eastAsia" w:ascii="黑体" w:hAnsi="黑体" w:eastAsia="黑体"/>
          <w:b w:val="0"/>
        </w:rPr>
        <w:t>第二部分2021年度</w:t>
      </w:r>
      <w:r>
        <w:rPr>
          <w:rStyle w:val="27"/>
          <w:rFonts w:hint="eastAsia" w:ascii="黑体" w:hAnsi="黑体" w:eastAsia="黑体"/>
          <w:b w:val="0"/>
          <w:bCs/>
        </w:rPr>
        <w:t>单位决算</w:t>
      </w:r>
      <w:r>
        <w:rPr>
          <w:rFonts w:hint="eastAsia" w:ascii="黑体" w:hAnsi="黑体" w:eastAsia="黑体"/>
          <w:b w:val="0"/>
        </w:rPr>
        <w:t>情况说明</w:t>
      </w:r>
      <w:bookmarkEnd w:id="35"/>
      <w:bookmarkEnd w:id="36"/>
      <w:bookmarkEnd w:id="37"/>
    </w:p>
    <w:p/>
    <w:p>
      <w:pPr>
        <w:pStyle w:val="26"/>
        <w:numPr>
          <w:ilvl w:val="0"/>
          <w:numId w:val="1"/>
        </w:numPr>
        <w:spacing w:line="600" w:lineRule="exact"/>
        <w:ind w:firstLineChars="0"/>
        <w:outlineLvl w:val="1"/>
        <w:rPr>
          <w:rStyle w:val="28"/>
          <w:rFonts w:ascii="黑体" w:hAnsi="黑体" w:eastAsia="黑体"/>
          <w:b w:val="0"/>
        </w:rPr>
      </w:pPr>
      <w:bookmarkStart w:id="38" w:name="_Toc15396603"/>
      <w:bookmarkStart w:id="39" w:name="_Toc15377205"/>
      <w:bookmarkStart w:id="40" w:name="_Toc7611"/>
      <w:r>
        <w:rPr>
          <w:rFonts w:hint="eastAsia" w:ascii="黑体" w:hAnsi="黑体" w:eastAsia="黑体"/>
          <w:sz w:val="32"/>
          <w:szCs w:val="32"/>
        </w:rPr>
        <w:t>收</w:t>
      </w:r>
      <w:r>
        <w:rPr>
          <w:rStyle w:val="28"/>
          <w:rFonts w:hint="eastAsia" w:ascii="黑体" w:hAnsi="黑体" w:eastAsia="黑体"/>
          <w:b w:val="0"/>
        </w:rPr>
        <w:t>入支出决算</w:t>
      </w:r>
      <w:r>
        <w:rPr>
          <w:rFonts w:hint="eastAsia" w:ascii="黑体" w:hAnsi="黑体" w:eastAsia="黑体"/>
          <w:sz w:val="32"/>
          <w:szCs w:val="32"/>
        </w:rPr>
        <w:t>总体情况说明</w:t>
      </w:r>
      <w:bookmarkEnd w:id="38"/>
      <w:bookmarkEnd w:id="39"/>
      <w:bookmarkEnd w:id="40"/>
    </w:p>
    <w:p>
      <w:pPr>
        <w:spacing w:line="600" w:lineRule="exact"/>
        <w:ind w:firstLine="640" w:firstLineChars="200"/>
        <w:rPr>
          <w:rFonts w:ascii="仿宋" w:hAnsi="仿宋" w:eastAsia="仿宋"/>
          <w:sz w:val="32"/>
          <w:szCs w:val="32"/>
        </w:rPr>
      </w:pPr>
      <w:r>
        <w:rPr>
          <w:rFonts w:hint="eastAsia" w:ascii="仿宋" w:hAnsi="仿宋" w:eastAsia="仿宋"/>
          <w:sz w:val="32"/>
          <w:szCs w:val="32"/>
        </w:rPr>
        <w:t>通江县铁溪镇朱元乡卫生院本年收入合计286.35万元，本年支出合计286.35万元。与2020年相比，本年收入增加47.51万元，增长16%；本年支出增加47.51万元，增长16%，主要原因是增加了人员经费。</w:t>
      </w:r>
    </w:p>
    <w:p>
      <w:pPr>
        <w:spacing w:line="600" w:lineRule="exact"/>
        <w:ind w:firstLine="640" w:firstLineChars="2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
        <w:spacing w:before="93"/>
        <w:jc w:val="center"/>
      </w:pPr>
      <w:r>
        <w:drawing>
          <wp:inline distT="0" distB="0" distL="114300" distR="114300">
            <wp:extent cx="4410710" cy="2647950"/>
            <wp:effectExtent l="0" t="0" r="8890" b="0"/>
            <wp:docPr id="822" name="_x0000_i2512" descr="7b0a202020202263686172745265734964223a20223230343734353330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41" w:name="_Toc5265"/>
      <w:bookmarkStart w:id="42" w:name="_Toc15377206"/>
      <w:bookmarkStart w:id="43" w:name="_Toc15396604"/>
      <w:r>
        <w:rPr>
          <w:rFonts w:hint="eastAsia" w:ascii="黑体" w:hAnsi="黑体" w:eastAsia="黑体"/>
          <w:sz w:val="32"/>
          <w:szCs w:val="32"/>
        </w:rPr>
        <w:t>收</w:t>
      </w:r>
      <w:r>
        <w:rPr>
          <w:rStyle w:val="28"/>
          <w:rFonts w:hint="eastAsia" w:ascii="黑体" w:hAnsi="黑体" w:eastAsia="黑体"/>
          <w:b w:val="0"/>
        </w:rPr>
        <w:t>入决算</w:t>
      </w:r>
      <w:r>
        <w:rPr>
          <w:rFonts w:hint="eastAsia" w:ascii="黑体" w:hAnsi="黑体" w:eastAsia="黑体"/>
        </w:rPr>
        <w:t>情况说明</w:t>
      </w:r>
      <w:bookmarkEnd w:id="41"/>
      <w:bookmarkEnd w:id="42"/>
      <w:bookmarkEnd w:id="43"/>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2021年本年收入合计286.35万元，其中：一般公共预算财政拨款收入66.66万元，占本年收入合计23.27%，其他收入46.39万元，占本年收入合计16.20%。事业收入173.30万元，占本年收入合计60.52%。</w:t>
      </w:r>
    </w:p>
    <w:p>
      <w:pPr>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3"/>
        <w:spacing w:before="93"/>
        <w:rPr>
          <w:sz w:val="32"/>
          <w:szCs w:val="32"/>
        </w:rPr>
      </w:pPr>
    </w:p>
    <w:p>
      <w:pPr>
        <w:pStyle w:val="3"/>
        <w:spacing w:before="93"/>
        <w:jc w:val="center"/>
        <w:rPr>
          <w:sz w:val="32"/>
          <w:szCs w:val="32"/>
        </w:rPr>
      </w:pPr>
      <w:r>
        <w:drawing>
          <wp:inline distT="0" distB="0" distL="114300" distR="114300">
            <wp:extent cx="4267835" cy="2495550"/>
            <wp:effectExtent l="4445" t="5080" r="13970" b="13970"/>
            <wp:docPr id="823" name="_x0000_i25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44" w:name="_Toc15396605"/>
      <w:bookmarkStart w:id="45" w:name="_Toc15377207"/>
      <w:bookmarkStart w:id="46" w:name="_Toc6096"/>
      <w:r>
        <w:rPr>
          <w:rFonts w:hint="eastAsia" w:ascii="黑体" w:hAnsi="黑体" w:eastAsia="黑体"/>
          <w:sz w:val="32"/>
          <w:szCs w:val="32"/>
        </w:rPr>
        <w:t>支</w:t>
      </w:r>
      <w:r>
        <w:rPr>
          <w:rStyle w:val="28"/>
          <w:rFonts w:hint="eastAsia" w:ascii="黑体" w:hAnsi="黑体" w:eastAsia="黑体"/>
          <w:b w:val="0"/>
        </w:rPr>
        <w:t>出决算</w:t>
      </w:r>
      <w:r>
        <w:rPr>
          <w:rFonts w:hint="eastAsia" w:ascii="黑体" w:hAnsi="黑体" w:eastAsia="黑体"/>
          <w:sz w:val="32"/>
          <w:szCs w:val="32"/>
        </w:rPr>
        <w:t>情况说明</w:t>
      </w:r>
      <w:bookmarkEnd w:id="44"/>
      <w:bookmarkEnd w:id="45"/>
      <w:bookmarkEnd w:id="46"/>
    </w:p>
    <w:p>
      <w:pPr>
        <w:spacing w:line="600" w:lineRule="exact"/>
        <w:ind w:firstLine="640" w:firstLineChars="200"/>
        <w:outlineLvl w:val="1"/>
        <w:rPr>
          <w:rFonts w:ascii="仿宋" w:hAnsi="仿宋" w:eastAsia="仿宋"/>
          <w:sz w:val="32"/>
          <w:szCs w:val="32"/>
          <w:shd w:val="pct10" w:color="auto" w:fill="FFFFFF"/>
        </w:rPr>
      </w:pPr>
      <w:bookmarkStart w:id="47" w:name="_Toc16896"/>
      <w:r>
        <w:rPr>
          <w:rFonts w:hint="eastAsia" w:ascii="仿宋" w:hAnsi="仿宋" w:eastAsia="仿宋" w:cs="仿宋"/>
          <w:sz w:val="32"/>
          <w:szCs w:val="32"/>
        </w:rPr>
        <w:t>2021年支出合计286.35万元。其中：基本支出251.75万元，占总支出的87.91%，项目支出34.60万元，占总支出的12.08%。</w:t>
      </w:r>
      <w:bookmarkEnd w:id="47"/>
    </w:p>
    <w:p>
      <w:pPr>
        <w:rPr>
          <w:rFonts w:ascii="仿宋" w:hAnsi="仿宋" w:eastAsia="仿宋"/>
          <w:sz w:val="32"/>
          <w:szCs w:val="32"/>
        </w:rPr>
      </w:pPr>
      <w:r>
        <w:rPr>
          <w:rFonts w:hint="eastAsia" w:ascii="仿宋" w:hAnsi="仿宋" w:eastAsia="仿宋"/>
          <w:sz w:val="32"/>
          <w:szCs w:val="32"/>
        </w:rPr>
        <w:t>（图3：支出决算结构图）</w:t>
      </w:r>
    </w:p>
    <w:p>
      <w:pPr>
        <w:pStyle w:val="3"/>
        <w:spacing w:before="93"/>
        <w:jc w:val="center"/>
        <w:rPr>
          <w:sz w:val="32"/>
          <w:szCs w:val="32"/>
        </w:rPr>
      </w:pPr>
      <w:r>
        <w:drawing>
          <wp:inline distT="0" distB="0" distL="114300" distR="114300">
            <wp:extent cx="4372610" cy="2371725"/>
            <wp:effectExtent l="4445" t="4445" r="23495" b="5080"/>
            <wp:docPr id="824" name="_x0000_i25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outlineLvl w:val="1"/>
        <w:rPr>
          <w:rStyle w:val="28"/>
          <w:rFonts w:ascii="黑体" w:hAnsi="黑体" w:eastAsia="黑体"/>
          <w:b w:val="0"/>
        </w:rPr>
      </w:pPr>
      <w:bookmarkStart w:id="48" w:name="_Toc15377208"/>
      <w:bookmarkStart w:id="49" w:name="_Toc9754"/>
      <w:bookmarkStart w:id="50" w:name="_Toc15396606"/>
      <w:r>
        <w:rPr>
          <w:rFonts w:hint="eastAsia" w:ascii="黑体" w:hAnsi="黑体" w:eastAsia="黑体"/>
          <w:sz w:val="32"/>
          <w:szCs w:val="32"/>
        </w:rPr>
        <w:t>四、财</w:t>
      </w:r>
      <w:r>
        <w:rPr>
          <w:rStyle w:val="28"/>
          <w:rFonts w:hint="eastAsia" w:ascii="黑体" w:hAnsi="黑体" w:eastAsia="黑体"/>
          <w:b w:val="0"/>
        </w:rPr>
        <w:t>政拨款收入支出决算</w:t>
      </w:r>
      <w:r>
        <w:rPr>
          <w:rFonts w:hint="eastAsia" w:ascii="黑体" w:hAnsi="黑体" w:eastAsia="黑体"/>
          <w:sz w:val="32"/>
          <w:szCs w:val="32"/>
        </w:rPr>
        <w:t>总体情况说明</w:t>
      </w:r>
      <w:bookmarkEnd w:id="48"/>
      <w:bookmarkEnd w:id="49"/>
      <w:bookmarkEnd w:id="5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2021年财政拨款收入总计66.66万元。与2020年相比，财政拨款收入减少6.8万元，减少10.2%。主要原因是减少了人员经费的预算。</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w:t>
      </w:r>
    </w:p>
    <w:p>
      <w:pPr>
        <w:pStyle w:val="3"/>
        <w:spacing w:before="93"/>
        <w:jc w:val="center"/>
        <w:rPr>
          <w:rFonts w:ascii="仿宋" w:hAnsi="仿宋" w:eastAsia="仿宋"/>
          <w:b/>
          <w:sz w:val="32"/>
          <w:szCs w:val="32"/>
        </w:rPr>
      </w:pPr>
      <w:r>
        <w:drawing>
          <wp:inline distT="0" distB="0" distL="114300" distR="114300">
            <wp:extent cx="4438650" cy="2438400"/>
            <wp:effectExtent l="4445" t="4445" r="14605" b="14605"/>
            <wp:docPr id="825" name="_x0000_i25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outlineLvl w:val="1"/>
        <w:rPr>
          <w:rStyle w:val="28"/>
          <w:rFonts w:ascii="黑体" w:hAnsi="黑体" w:eastAsia="黑体"/>
          <w:b w:val="0"/>
        </w:rPr>
      </w:pPr>
      <w:bookmarkStart w:id="51" w:name="_Toc5760"/>
      <w:bookmarkStart w:id="52" w:name="_Toc15396607"/>
      <w:bookmarkStart w:id="53"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51"/>
      <w:bookmarkEnd w:id="52"/>
      <w:bookmarkEnd w:id="53"/>
    </w:p>
    <w:p>
      <w:pPr>
        <w:spacing w:line="600" w:lineRule="exact"/>
        <w:ind w:firstLine="643" w:firstLineChars="200"/>
        <w:outlineLvl w:val="2"/>
        <w:rPr>
          <w:rFonts w:ascii="仿宋" w:hAnsi="仿宋" w:eastAsia="仿宋"/>
          <w:b/>
          <w:sz w:val="32"/>
          <w:szCs w:val="32"/>
        </w:rPr>
      </w:pPr>
      <w:bookmarkStart w:id="54" w:name="_Toc15377210"/>
      <w:r>
        <w:rPr>
          <w:rFonts w:hint="eastAsia" w:ascii="仿宋" w:hAnsi="仿宋" w:eastAsia="仿宋"/>
          <w:b/>
          <w:sz w:val="32"/>
          <w:szCs w:val="32"/>
        </w:rPr>
        <w:t>（一）一般公共预算财政拨款支出决算总体情况</w:t>
      </w:r>
      <w:bookmarkEnd w:id="54"/>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2021年一般公共预算财政拨款支出66.66万元，占本年支出合计的23.27%。与2020年相比，一般公共预算财政拨款减少6.8万元，减少10.2%。主要原因是减少了人员经费。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3"/>
        <w:spacing w:before="93"/>
        <w:jc w:val="center"/>
        <w:rPr>
          <w:rFonts w:ascii="仿宋" w:hAnsi="仿宋" w:eastAsia="仿宋"/>
          <w:sz w:val="32"/>
          <w:szCs w:val="32"/>
        </w:rPr>
      </w:pPr>
      <w:r>
        <w:drawing>
          <wp:inline distT="0" distB="0" distL="114300" distR="114300">
            <wp:extent cx="4153535" cy="2229485"/>
            <wp:effectExtent l="0" t="0" r="18415" b="56515"/>
            <wp:docPr id="826" name="_x0000_i2516" descr="7b0a202020202263686172745265734964223a20223230343731313433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3"/>
        <w:spacing w:before="93"/>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5" w:name="_Toc15377211"/>
      <w:r>
        <w:rPr>
          <w:rFonts w:hint="eastAsia" w:ascii="仿宋" w:hAnsi="仿宋" w:eastAsia="仿宋"/>
          <w:b/>
          <w:sz w:val="32"/>
          <w:szCs w:val="32"/>
        </w:rPr>
        <w:t>（二）一般公共预算财政拨款支出决算结构情况</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21年一般公共预算财政拨款支出66.66万元，主要用于以下方面</w:t>
      </w:r>
      <w:r>
        <w:t>：</w:t>
      </w:r>
      <w:r>
        <w:rPr>
          <w:rFonts w:hint="eastAsia" w:ascii="仿宋" w:hAnsi="仿宋" w:eastAsia="仿宋"/>
          <w:b/>
          <w:sz w:val="32"/>
          <w:szCs w:val="32"/>
        </w:rPr>
        <w:t>社会保障和就业（类）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t>（</w:t>
      </w:r>
      <w:r>
        <w:rPr>
          <w:rFonts w:hint="eastAsia" w:ascii="仿宋" w:hAnsi="仿宋" w:eastAsia="仿宋"/>
          <w:b/>
          <w:bCs/>
          <w:sz w:val="32"/>
          <w:szCs w:val="32"/>
        </w:rPr>
        <w:t>类）</w:t>
      </w:r>
      <w:r>
        <w:rPr>
          <w:rFonts w:hint="eastAsia" w:ascii="仿宋" w:hAnsi="仿宋" w:eastAsia="仿宋"/>
          <w:sz w:val="32"/>
          <w:szCs w:val="32"/>
        </w:rPr>
        <w:t>65.16万元，占97.74</w:t>
      </w:r>
      <w:r>
        <w:rPr>
          <w:rFonts w:ascii="仿宋" w:hAnsi="仿宋" w:eastAsia="仿宋"/>
          <w:sz w:val="32"/>
          <w:szCs w:val="32"/>
        </w:rPr>
        <w:t>%</w:t>
      </w:r>
      <w:r>
        <w:rPr>
          <w:rFonts w:hint="eastAsia" w:ascii="仿宋" w:hAnsi="仿宋" w:eastAsia="仿宋"/>
          <w:sz w:val="32"/>
          <w:szCs w:val="32"/>
        </w:rPr>
        <w:t>；</w:t>
      </w:r>
      <w:r>
        <w:rPr>
          <w:rStyle w:val="8"/>
          <w:rFonts w:hint="eastAsia" w:ascii="仿宋" w:hAnsi="仿宋" w:eastAsia="仿宋"/>
          <w:bCs/>
          <w:color w:val="000000"/>
          <w:sz w:val="32"/>
          <w:szCs w:val="32"/>
        </w:rPr>
        <w:t>农林水支出（类）</w:t>
      </w:r>
      <w:r>
        <w:rPr>
          <w:rFonts w:hint="eastAsia" w:ascii="仿宋" w:hAnsi="仿宋" w:eastAsia="仿宋"/>
          <w:sz w:val="32"/>
          <w:szCs w:val="32"/>
        </w:rPr>
        <w:t>住房保障支出1.5万元，占0.22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3"/>
        <w:spacing w:before="93"/>
        <w:jc w:val="center"/>
        <w:rPr>
          <w:rFonts w:ascii="仿宋" w:hAnsi="仿宋" w:eastAsia="仿宋"/>
          <w:sz w:val="32"/>
          <w:szCs w:val="32"/>
        </w:rPr>
      </w:pPr>
      <w:r>
        <w:drawing>
          <wp:inline distT="0" distB="0" distL="114300" distR="114300">
            <wp:extent cx="4419600" cy="2571750"/>
            <wp:effectExtent l="4445" t="4445" r="14605" b="14605"/>
            <wp:docPr id="827" name="_x0000_i25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3" w:firstLineChars="200"/>
        <w:outlineLvl w:val="2"/>
        <w:rPr>
          <w:rFonts w:ascii="仿宋" w:hAnsi="仿宋" w:eastAsia="仿宋"/>
          <w:b/>
          <w:sz w:val="32"/>
          <w:szCs w:val="32"/>
        </w:rPr>
      </w:pPr>
      <w:bookmarkStart w:id="56" w:name="_Toc15377212"/>
      <w:r>
        <w:rPr>
          <w:rFonts w:hint="eastAsia" w:ascii="仿宋" w:hAnsi="仿宋" w:eastAsia="仿宋"/>
          <w:b/>
          <w:sz w:val="32"/>
          <w:szCs w:val="32"/>
        </w:rPr>
        <w:t>（三）一般公共预算财政拨款支出决算具体情况</w:t>
      </w:r>
      <w:bookmarkEnd w:id="56"/>
    </w:p>
    <w:p>
      <w:pPr>
        <w:spacing w:line="600" w:lineRule="exact"/>
        <w:ind w:firstLine="643" w:firstLineChars="200"/>
        <w:outlineLvl w:val="1"/>
        <w:rPr>
          <w:rFonts w:ascii="仿宋" w:hAnsi="仿宋" w:eastAsia="仿宋"/>
          <w:sz w:val="32"/>
          <w:szCs w:val="32"/>
        </w:rPr>
      </w:pPr>
      <w:bookmarkStart w:id="57" w:name="_Toc15377213"/>
      <w:bookmarkStart w:id="58" w:name="_Toc15377444"/>
      <w:bookmarkStart w:id="59" w:name="_Toc15378460"/>
      <w:bookmarkStart w:id="60" w:name="_Toc24865"/>
      <w:r>
        <w:rPr>
          <w:rFonts w:hint="eastAsia" w:ascii="仿宋" w:hAnsi="仿宋" w:eastAsia="仿宋"/>
          <w:b/>
          <w:sz w:val="32"/>
          <w:szCs w:val="32"/>
        </w:rPr>
        <w:t>2021年一般公共预算支出决算数为66.66</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57"/>
      <w:bookmarkEnd w:id="58"/>
      <w:bookmarkEnd w:id="59"/>
      <w:bookmarkEnd w:id="60"/>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1</w:t>
      </w:r>
      <w:r>
        <w:rPr>
          <w:rStyle w:val="8"/>
          <w:rFonts w:hint="eastAsia" w:ascii="仿宋" w:hAnsi="仿宋" w:eastAsia="仿宋"/>
          <w:bCs/>
          <w:sz w:val="32"/>
          <w:szCs w:val="32"/>
          <w:u w:val="none" w:color="46CD7E"/>
          <w:shd w:val="clear" w:fill="auto"/>
          <w:lang w:eastAsia="zh-CN"/>
        </w:rPr>
        <w:t>.</w:t>
      </w:r>
      <w:r>
        <w:rPr>
          <w:rFonts w:hint="eastAsia" w:ascii="仿宋" w:hAnsi="仿宋" w:eastAsia="仿宋"/>
          <w:b/>
          <w:bCs/>
          <w:sz w:val="32"/>
          <w:szCs w:val="32"/>
        </w:rPr>
        <w:t>卫生健康</w:t>
      </w:r>
      <w:r>
        <w:rPr>
          <w:rStyle w:val="8"/>
          <w:rFonts w:hint="eastAsia" w:ascii="仿宋" w:hAnsi="仿宋" w:eastAsia="仿宋"/>
          <w:bCs/>
          <w:sz w:val="32"/>
          <w:szCs w:val="32"/>
        </w:rPr>
        <w:t>（类）基层医疗卫生机构（款）乡镇卫生院（项）</w:t>
      </w:r>
      <w:r>
        <w:rPr>
          <w:rStyle w:val="8"/>
          <w:rFonts w:ascii="仿宋" w:hAnsi="仿宋" w:eastAsia="仿宋"/>
          <w:bCs/>
          <w:sz w:val="32"/>
          <w:szCs w:val="32"/>
        </w:rPr>
        <w:t>:</w:t>
      </w:r>
      <w:r>
        <w:rPr>
          <w:rStyle w:val="8"/>
          <w:rFonts w:hint="eastAsia" w:ascii="仿宋" w:hAnsi="仿宋" w:eastAsia="仿宋"/>
          <w:b w:val="0"/>
          <w:bCs/>
          <w:sz w:val="32"/>
          <w:szCs w:val="32"/>
        </w:rPr>
        <w:t>支出决算</w:t>
      </w:r>
      <w:r>
        <w:rPr>
          <w:rFonts w:hint="eastAsia" w:ascii="仿宋" w:hAnsi="仿宋" w:eastAsia="仿宋"/>
          <w:bCs/>
          <w:sz w:val="32"/>
          <w:szCs w:val="32"/>
        </w:rPr>
        <w:t>为</w:t>
      </w:r>
      <w:r>
        <w:rPr>
          <w:rStyle w:val="8"/>
          <w:rFonts w:hint="eastAsia" w:ascii="仿宋" w:hAnsi="仿宋" w:eastAsia="仿宋"/>
          <w:b w:val="0"/>
          <w:bCs/>
          <w:sz w:val="32"/>
          <w:szCs w:val="32"/>
        </w:rPr>
        <w:t>32.06万元，完成预算100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Style w:val="8"/>
          <w:rFonts w:hint="eastAsia" w:ascii="仿宋" w:hAnsi="仿宋" w:eastAsia="仿宋"/>
          <w:bCs/>
          <w:sz w:val="32"/>
          <w:szCs w:val="32"/>
        </w:rPr>
        <w:t>2</w:t>
      </w:r>
      <w:r>
        <w:rPr>
          <w:rStyle w:val="8"/>
          <w:rFonts w:hint="eastAsia" w:ascii="仿宋" w:hAnsi="仿宋" w:eastAsia="仿宋"/>
          <w:bCs/>
          <w:sz w:val="32"/>
          <w:szCs w:val="32"/>
          <w:u w:val="none" w:color="46CD7E"/>
          <w:shd w:val="clear" w:fill="auto"/>
          <w:lang w:eastAsia="zh-CN"/>
        </w:rPr>
        <w:t>.</w:t>
      </w:r>
      <w:r>
        <w:rPr>
          <w:rFonts w:hint="eastAsia" w:ascii="仿宋" w:hAnsi="仿宋" w:eastAsia="仿宋"/>
          <w:b/>
          <w:bCs/>
          <w:sz w:val="32"/>
          <w:szCs w:val="32"/>
        </w:rPr>
        <w:t>卫生健康</w:t>
      </w:r>
      <w:r>
        <w:rPr>
          <w:rStyle w:val="8"/>
          <w:rFonts w:hint="eastAsia" w:ascii="仿宋" w:hAnsi="仿宋" w:eastAsia="仿宋"/>
          <w:bCs/>
          <w:sz w:val="32"/>
          <w:szCs w:val="32"/>
        </w:rPr>
        <w:t>（类）基层医疗卫生机构（款）乡镇卫生院（项）</w:t>
      </w:r>
      <w:r>
        <w:rPr>
          <w:rStyle w:val="8"/>
          <w:rFonts w:ascii="仿宋" w:hAnsi="仿宋" w:eastAsia="仿宋"/>
          <w:bCs/>
          <w:sz w:val="32"/>
          <w:szCs w:val="32"/>
        </w:rPr>
        <w:t>:</w:t>
      </w:r>
      <w:r>
        <w:rPr>
          <w:rStyle w:val="8"/>
          <w:rFonts w:hint="eastAsia" w:ascii="仿宋" w:hAnsi="仿宋" w:eastAsia="仿宋"/>
          <w:b w:val="0"/>
          <w:bCs/>
          <w:sz w:val="32"/>
          <w:szCs w:val="32"/>
        </w:rPr>
        <w:t>支出决算</w:t>
      </w:r>
      <w:r>
        <w:rPr>
          <w:rFonts w:hint="eastAsia" w:ascii="仿宋" w:hAnsi="仿宋" w:eastAsia="仿宋"/>
          <w:bCs/>
          <w:sz w:val="32"/>
          <w:szCs w:val="32"/>
        </w:rPr>
        <w:t>为</w:t>
      </w:r>
      <w:r>
        <w:rPr>
          <w:rStyle w:val="8"/>
          <w:rFonts w:hint="eastAsia" w:ascii="仿宋" w:hAnsi="仿宋" w:eastAsia="仿宋"/>
          <w:b w:val="0"/>
          <w:bCs/>
          <w:sz w:val="32"/>
          <w:szCs w:val="32"/>
        </w:rPr>
        <w:t>10.23万元，完成预算100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Fonts w:hint="eastAsia" w:ascii="仿宋" w:hAnsi="仿宋" w:eastAsia="仿宋"/>
          <w:b/>
          <w:sz w:val="32"/>
          <w:szCs w:val="32"/>
        </w:rPr>
        <w:t>3</w:t>
      </w:r>
      <w:r>
        <w:rPr>
          <w:rFonts w:hint="eastAsia" w:ascii="仿宋" w:hAnsi="仿宋" w:eastAsia="仿宋"/>
          <w:b/>
          <w:sz w:val="32"/>
          <w:szCs w:val="32"/>
          <w:u w:val="none" w:color="46CD7E"/>
          <w:shd w:val="clear" w:fill="auto"/>
          <w:lang w:eastAsia="zh-CN"/>
        </w:rPr>
        <w:t>.</w:t>
      </w:r>
      <w:r>
        <w:rPr>
          <w:rStyle w:val="8"/>
          <w:rFonts w:hint="eastAsia" w:ascii="仿宋" w:hAnsi="仿宋" w:eastAsia="仿宋"/>
          <w:bCs/>
          <w:color w:val="000000"/>
          <w:sz w:val="32"/>
          <w:szCs w:val="32"/>
        </w:rPr>
        <w:t>卫生健康（类）公共卫生（款）基本公共卫生服务（项）：</w:t>
      </w:r>
      <w:r>
        <w:rPr>
          <w:rStyle w:val="8"/>
          <w:rFonts w:hint="eastAsia" w:ascii="仿宋" w:hAnsi="仿宋" w:eastAsia="仿宋"/>
          <w:b w:val="0"/>
          <w:bCs/>
          <w:sz w:val="32"/>
          <w:szCs w:val="32"/>
        </w:rPr>
        <w:t>支出决算</w:t>
      </w:r>
      <w:r>
        <w:rPr>
          <w:rFonts w:hint="eastAsia" w:ascii="仿宋" w:hAnsi="仿宋" w:eastAsia="仿宋"/>
          <w:bCs/>
          <w:sz w:val="32"/>
          <w:szCs w:val="32"/>
        </w:rPr>
        <w:t>为</w:t>
      </w:r>
      <w:r>
        <w:rPr>
          <w:rStyle w:val="8"/>
          <w:rFonts w:hint="eastAsia" w:ascii="仿宋" w:hAnsi="仿宋" w:eastAsia="仿宋"/>
          <w:b w:val="0"/>
          <w:bCs/>
          <w:sz w:val="32"/>
          <w:szCs w:val="32"/>
        </w:rPr>
        <w:t>22.87万元，完成预算100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pStyle w:val="3"/>
        <w:spacing w:before="93"/>
        <w:ind w:firstLine="602" w:firstLineChars="200"/>
        <w:rPr>
          <w:rFonts w:eastAsia="仿宋"/>
          <w:b/>
          <w:bCs/>
        </w:rPr>
      </w:pPr>
      <w:r>
        <w:rPr>
          <w:rFonts w:hint="eastAsia" w:eastAsia="仿宋"/>
          <w:b/>
          <w:bCs/>
        </w:rPr>
        <w:t>4</w:t>
      </w:r>
      <w:r>
        <w:rPr>
          <w:rFonts w:hint="eastAsia" w:eastAsia="仿宋"/>
          <w:b/>
          <w:bCs/>
          <w:u w:val="none" w:color="46CD7E"/>
          <w:shd w:val="clear" w:fill="auto"/>
          <w:lang w:eastAsia="zh-CN"/>
        </w:rPr>
        <w:t>.</w:t>
      </w:r>
      <w:r>
        <w:rPr>
          <w:rStyle w:val="8"/>
          <w:rFonts w:hint="eastAsia" w:ascii="仿宋" w:hAnsi="仿宋" w:eastAsia="仿宋"/>
          <w:bCs/>
          <w:color w:val="000000"/>
          <w:sz w:val="32"/>
          <w:szCs w:val="32"/>
        </w:rPr>
        <w:t>农林水支出（类）扶贫（款）其他扶贫支出（项）:</w:t>
      </w:r>
      <w:r>
        <w:rPr>
          <w:rStyle w:val="8"/>
          <w:rFonts w:hint="eastAsia" w:ascii="仿宋" w:hAnsi="仿宋" w:eastAsia="仿宋"/>
          <w:b w:val="0"/>
          <w:bCs/>
          <w:sz w:val="32"/>
          <w:szCs w:val="32"/>
        </w:rPr>
        <w:t>支出决算</w:t>
      </w:r>
      <w:r>
        <w:rPr>
          <w:rFonts w:hint="eastAsia" w:ascii="仿宋" w:hAnsi="仿宋" w:eastAsia="仿宋"/>
          <w:bCs/>
          <w:sz w:val="32"/>
          <w:szCs w:val="32"/>
        </w:rPr>
        <w:t>为</w:t>
      </w:r>
      <w:r>
        <w:rPr>
          <w:rStyle w:val="8"/>
          <w:rFonts w:hint="eastAsia" w:ascii="仿宋" w:hAnsi="仿宋" w:eastAsia="仿宋"/>
          <w:b w:val="0"/>
          <w:bCs/>
          <w:sz w:val="32"/>
          <w:szCs w:val="32"/>
        </w:rPr>
        <w:t>1.5万元，完成预算100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61" w:name="_Toc15396608"/>
      <w:bookmarkStart w:id="62" w:name="_Toc15377214"/>
      <w:bookmarkStart w:id="63" w:name="_Toc612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61"/>
      <w:bookmarkEnd w:id="62"/>
      <w:bookmarkEnd w:id="63"/>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21年一般公共预算财政拨款基本支出32.06万元，其中：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缴费32.06万元，主要包括：基本工资17.32万元、津贴补贴3.04万元、伙食补助费0万元、机关事业单位基本养老保险缴费4.90万元、职业年金缴费2.05万元、职工基本医疗保险缴费0.66万元、其他社会保障缴费0.50万元、住房公积金缴费3.6万元等。</w:t>
      </w:r>
    </w:p>
    <w:p>
      <w:pPr>
        <w:spacing w:line="560" w:lineRule="exact"/>
        <w:rPr>
          <w:rFonts w:ascii="仿宋" w:hAnsi="仿宋" w:eastAsia="仿宋" w:cs="仿宋"/>
          <w:sz w:val="32"/>
          <w:szCs w:val="32"/>
        </w:rPr>
      </w:pPr>
      <w:r>
        <w:rPr>
          <w:rFonts w:hint="eastAsia" w:ascii="仿宋" w:hAnsi="仿宋" w:eastAsia="仿宋"/>
          <w:sz w:val="32"/>
          <w:szCs w:val="32"/>
        </w:rPr>
        <w:t>公用经费34.6万元，主要包括：</w:t>
      </w:r>
      <w:r>
        <w:rPr>
          <w:rFonts w:hint="eastAsia" w:ascii="仿宋" w:hAnsi="仿宋" w:eastAsia="仿宋" w:cs="仿宋"/>
          <w:sz w:val="32"/>
          <w:szCs w:val="32"/>
        </w:rPr>
        <w:t>办公费2.94万元、印刷费1.88万元、手续费0万元、水费1.7万元、差旅费3.59万元、会议费0.13万元、培训费0.51万元、劳务费10.42万元、其他商品和服务费5.72万元等。</w:t>
      </w:r>
    </w:p>
    <w:p>
      <w:pPr>
        <w:spacing w:line="600" w:lineRule="exact"/>
        <w:ind w:firstLine="640"/>
        <w:outlineLvl w:val="1"/>
        <w:rPr>
          <w:rStyle w:val="28"/>
          <w:rFonts w:ascii="黑体" w:hAnsi="黑体" w:eastAsia="黑体"/>
          <w:b w:val="0"/>
        </w:rPr>
      </w:pPr>
      <w:bookmarkStart w:id="64" w:name="_Toc12514"/>
      <w:bookmarkStart w:id="65" w:name="_Toc15396609"/>
      <w:bookmarkStart w:id="66" w:name="_Toc153772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w:t>
      </w:r>
      <w:r>
        <w:rPr>
          <w:rFonts w:hint="eastAsia" w:ascii="黑体" w:hAnsi="黑体" w:eastAsia="黑体"/>
          <w:sz w:val="32"/>
          <w:szCs w:val="32"/>
        </w:rPr>
        <w:t>财政拨款支出</w:t>
      </w:r>
      <w:r>
        <w:rPr>
          <w:rStyle w:val="28"/>
          <w:rFonts w:hint="eastAsia" w:ascii="黑体" w:hAnsi="黑体" w:eastAsia="黑体"/>
          <w:b w:val="0"/>
        </w:rPr>
        <w:t>决算</w:t>
      </w:r>
      <w:r>
        <w:rPr>
          <w:rFonts w:hint="eastAsia" w:ascii="黑体" w:hAnsi="黑体" w:eastAsia="黑体"/>
          <w:sz w:val="32"/>
          <w:szCs w:val="32"/>
        </w:rPr>
        <w:t>情况说明</w:t>
      </w:r>
      <w:bookmarkEnd w:id="64"/>
      <w:bookmarkEnd w:id="65"/>
      <w:bookmarkEnd w:id="66"/>
    </w:p>
    <w:p>
      <w:pPr>
        <w:spacing w:line="600" w:lineRule="exact"/>
        <w:ind w:firstLine="640"/>
        <w:outlineLvl w:val="2"/>
        <w:rPr>
          <w:rFonts w:ascii="仿宋" w:hAnsi="仿宋" w:eastAsia="仿宋"/>
          <w:b/>
          <w:sz w:val="32"/>
          <w:szCs w:val="32"/>
        </w:rPr>
      </w:pPr>
      <w:bookmarkStart w:id="67" w:name="_Toc15377216"/>
      <w:r>
        <w:rPr>
          <w:rFonts w:hint="eastAsia" w:ascii="仿宋" w:hAnsi="仿宋" w:eastAsia="仿宋"/>
          <w:b/>
          <w:sz w:val="32"/>
          <w:szCs w:val="32"/>
        </w:rPr>
        <w:t>（一）“三公”经费财政拨款支出决算总体情况说明</w:t>
      </w:r>
      <w:bookmarkEnd w:id="6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21年“三公”经费财政拨款支出决算数为0万元，决算数为0万元的主要原因是</w:t>
      </w:r>
      <w:r>
        <w:rPr>
          <w:rFonts w:hint="eastAsia" w:ascii="仿宋" w:hAnsi="仿宋" w:eastAsia="仿宋"/>
          <w:color w:val="000000"/>
          <w:sz w:val="32"/>
          <w:szCs w:val="32"/>
        </w:rPr>
        <w:t>本单位无“三公”经费财政拨款预算收入</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8" w:name="_Toc15377217"/>
      <w:r>
        <w:rPr>
          <w:rFonts w:hint="eastAsia" w:ascii="仿宋" w:hAnsi="仿宋" w:eastAsia="仿宋"/>
          <w:b/>
          <w:sz w:val="32"/>
          <w:szCs w:val="32"/>
        </w:rPr>
        <w:t>（二）“三公”经费财政拨款支出决算具体情况说明</w:t>
      </w:r>
      <w:bookmarkEnd w:id="68"/>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3"/>
        <w:spacing w:before="93"/>
        <w:rPr>
          <w:rFonts w:eastAsia="仿宋"/>
        </w:rPr>
      </w:pPr>
      <w:r>
        <w:rPr>
          <w:rFonts w:hint="eastAsia" w:eastAsia="仿宋"/>
        </w:rPr>
        <w:drawing>
          <wp:inline distT="0" distB="0" distL="114300" distR="114300">
            <wp:extent cx="4590415" cy="2749550"/>
            <wp:effectExtent l="0" t="0" r="635" b="12700"/>
            <wp:docPr id="828" name="_x0000_i2518"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_x0000_i2518" descr="图片9"/>
                    <pic:cNvPicPr>
                      <a:picLocks noChangeAspect="1"/>
                    </pic:cNvPicPr>
                  </pic:nvPicPr>
                  <pic:blipFill>
                    <a:blip r:embed="rId20"/>
                    <a:stretch>
                      <a:fillRect/>
                    </a:stretch>
                  </pic:blipFill>
                  <pic:spPr>
                    <a:xfrm>
                      <a:off x="0" y="0"/>
                      <a:ext cx="4590415" cy="2749550"/>
                    </a:xfrm>
                    <a:prstGeom prst="rect">
                      <a:avLst/>
                    </a:prstGeom>
                  </pic:spPr>
                </pic:pic>
              </a:graphicData>
            </a:graphic>
          </wp:inline>
        </w:drawing>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2.公务用车购置及运行维护费支出0</w:t>
      </w:r>
      <w:r>
        <w:rPr>
          <w:rFonts w:hint="eastAsia" w:ascii="仿宋" w:hAnsi="仿宋" w:eastAsia="仿宋" w:cs="仿宋"/>
          <w:sz w:val="32"/>
          <w:szCs w:val="32"/>
        </w:rPr>
        <w:t>万元。</w:t>
      </w:r>
    </w:p>
    <w:p>
      <w:pPr>
        <w:spacing w:line="560" w:lineRule="exact"/>
        <w:ind w:firstLine="643" w:firstLineChars="200"/>
        <w:rPr>
          <w:rFonts w:ascii="仿宋_GB2312" w:eastAsia="仿宋_GB2312"/>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p>
    <w:p>
      <w:pPr>
        <w:spacing w:line="560" w:lineRule="exact"/>
        <w:ind w:firstLine="640"/>
        <w:outlineLvl w:val="1"/>
        <w:rPr>
          <w:rStyle w:val="28"/>
          <w:rFonts w:ascii="黑体" w:hAnsi="黑体" w:eastAsia="黑体"/>
        </w:rPr>
      </w:pPr>
      <w:bookmarkStart w:id="69" w:name="_Toc15396610"/>
      <w:bookmarkStart w:id="70" w:name="_Toc27047"/>
      <w:bookmarkStart w:id="71" w:name="_Toc15377218"/>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69"/>
      <w:bookmarkEnd w:id="70"/>
      <w:bookmarkEnd w:id="71"/>
    </w:p>
    <w:p>
      <w:pPr>
        <w:spacing w:line="560" w:lineRule="exact"/>
        <w:ind w:firstLine="640" w:firstLineChars="200"/>
        <w:rPr>
          <w:rFonts w:ascii="仿宋_GB2312" w:eastAsia="仿宋_GB2312"/>
          <w:sz w:val="32"/>
          <w:szCs w:val="32"/>
        </w:rPr>
      </w:pPr>
      <w:r>
        <w:rPr>
          <w:rFonts w:hint="eastAsia" w:ascii="仿宋" w:hAnsi="仿宋" w:eastAsia="仿宋" w:cs="仿宋"/>
          <w:sz w:val="32"/>
          <w:szCs w:val="32"/>
        </w:rPr>
        <w:t>2021年本单位没有政府基金预算收支。</w:t>
      </w:r>
    </w:p>
    <w:p>
      <w:pPr>
        <w:numPr>
          <w:ilvl w:val="0"/>
          <w:numId w:val="2"/>
        </w:numPr>
        <w:spacing w:line="560" w:lineRule="exact"/>
        <w:ind w:firstLine="640"/>
        <w:outlineLvl w:val="1"/>
        <w:rPr>
          <w:rStyle w:val="28"/>
          <w:rFonts w:ascii="黑体" w:hAnsi="黑体" w:eastAsia="黑体"/>
          <w:b w:val="0"/>
        </w:rPr>
      </w:pPr>
      <w:bookmarkStart w:id="72" w:name="_Toc15377219"/>
      <w:bookmarkStart w:id="73" w:name="_Toc15396611"/>
      <w:bookmarkStart w:id="74" w:name="_Toc16747"/>
      <w:r>
        <w:rPr>
          <w:rStyle w:val="28"/>
          <w:rFonts w:hint="eastAsia" w:ascii="黑体" w:hAnsi="黑体" w:eastAsia="黑体"/>
          <w:b w:val="0"/>
        </w:rPr>
        <w:t>国有</w:t>
      </w:r>
      <w:r>
        <w:rPr>
          <w:rFonts w:hint="eastAsia" w:ascii="黑体" w:hAnsi="黑体" w:eastAsia="黑体"/>
          <w:sz w:val="32"/>
          <w:szCs w:val="32"/>
        </w:rPr>
        <w:t>资本经营</w:t>
      </w:r>
      <w:r>
        <w:rPr>
          <w:rStyle w:val="28"/>
          <w:rFonts w:hint="eastAsia" w:ascii="黑体" w:hAnsi="黑体" w:eastAsia="黑体"/>
          <w:b w:val="0"/>
        </w:rPr>
        <w:t>预算</w:t>
      </w:r>
      <w:r>
        <w:rPr>
          <w:rFonts w:hint="eastAsia" w:ascii="黑体" w:hAnsi="黑体" w:eastAsia="黑体"/>
          <w:sz w:val="32"/>
          <w:szCs w:val="32"/>
        </w:rPr>
        <w:t>支出决算情况说明</w:t>
      </w:r>
      <w:bookmarkEnd w:id="72"/>
      <w:bookmarkEnd w:id="73"/>
      <w:bookmarkEnd w:id="74"/>
    </w:p>
    <w:p>
      <w:pPr>
        <w:spacing w:line="560" w:lineRule="exact"/>
        <w:jc w:val="center"/>
        <w:rPr>
          <w:rFonts w:ascii="方正小标宋简体" w:hAnsi="方正小标宋简体" w:eastAsia="方正小标宋简体" w:cs="方正小标宋简体"/>
          <w:sz w:val="44"/>
          <w:szCs w:val="44"/>
        </w:rPr>
      </w:pPr>
      <w:bookmarkStart w:id="75" w:name="_Toc21948"/>
      <w:bookmarkStart w:id="76" w:name="_Toc21862"/>
      <w:r>
        <w:rPr>
          <w:rFonts w:hint="eastAsia" w:ascii="仿宋" w:hAnsi="仿宋" w:eastAsia="仿宋" w:cs="仿宋"/>
          <w:sz w:val="32"/>
          <w:szCs w:val="32"/>
        </w:rPr>
        <w:t>2021年本单位没有国有资本经营预算拨款支出。</w:t>
      </w:r>
      <w:bookmarkEnd w:id="75"/>
      <w:bookmarkEnd w:id="76"/>
    </w:p>
    <w:p>
      <w:pPr>
        <w:numPr>
          <w:ilvl w:val="0"/>
          <w:numId w:val="2"/>
        </w:numPr>
        <w:spacing w:line="560" w:lineRule="exact"/>
        <w:ind w:firstLine="640"/>
        <w:outlineLvl w:val="1"/>
        <w:rPr>
          <w:rStyle w:val="28"/>
          <w:rFonts w:ascii="黑体" w:hAnsi="黑体" w:eastAsia="黑体"/>
          <w:b w:val="0"/>
        </w:rPr>
      </w:pPr>
      <w:bookmarkStart w:id="77" w:name="_Toc15377221"/>
      <w:bookmarkStart w:id="78" w:name="_Toc19730"/>
      <w:bookmarkStart w:id="79" w:name="_Toc15396612"/>
      <w:r>
        <w:rPr>
          <w:rStyle w:val="28"/>
          <w:rFonts w:hint="eastAsia" w:ascii="黑体" w:hAnsi="黑体" w:eastAsia="黑体"/>
          <w:b w:val="0"/>
        </w:rPr>
        <w:t>其他重要事项的情况说明</w:t>
      </w:r>
      <w:bookmarkEnd w:id="77"/>
      <w:bookmarkEnd w:id="78"/>
      <w:bookmarkEnd w:id="79"/>
    </w:p>
    <w:p>
      <w:pPr>
        <w:spacing w:line="560" w:lineRule="exact"/>
        <w:ind w:firstLine="643" w:firstLineChars="200"/>
        <w:outlineLvl w:val="2"/>
        <w:rPr>
          <w:rFonts w:ascii="仿宋" w:hAnsi="仿宋" w:eastAsia="仿宋"/>
          <w:sz w:val="32"/>
          <w:szCs w:val="32"/>
        </w:rPr>
      </w:pPr>
      <w:bookmarkStart w:id="80" w:name="_Toc15377222"/>
      <w:r>
        <w:rPr>
          <w:rFonts w:hint="eastAsia" w:ascii="仿宋" w:hAnsi="仿宋" w:eastAsia="仿宋"/>
          <w:b/>
          <w:sz w:val="32"/>
          <w:szCs w:val="32"/>
        </w:rPr>
        <w:t>（一）单位运行经费支出情况</w:t>
      </w:r>
      <w:bookmarkEnd w:id="80"/>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2021年，本单位机关运行经费支出0万元。</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81" w:name="_Toc15377223"/>
      <w:r>
        <w:rPr>
          <w:rFonts w:hint="eastAsia" w:ascii="仿宋" w:hAnsi="仿宋" w:eastAsia="仿宋"/>
          <w:b/>
          <w:sz w:val="32"/>
          <w:szCs w:val="32"/>
        </w:rPr>
        <w:t>（二）政府采购支出情况</w:t>
      </w:r>
      <w:bookmarkEnd w:id="81"/>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2021年，本单位政府采购支出总额0万元。</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82" w:name="_Toc15377224"/>
      <w:r>
        <w:rPr>
          <w:rFonts w:hint="eastAsia" w:ascii="仿宋" w:hAnsi="仿宋" w:eastAsia="仿宋"/>
          <w:b/>
          <w:sz w:val="32"/>
          <w:szCs w:val="32"/>
        </w:rPr>
        <w:t>（三）国有资产占有使用情况</w:t>
      </w:r>
      <w:bookmarkEnd w:id="82"/>
    </w:p>
    <w:p>
      <w:pPr>
        <w:autoSpaceDE w:val="0"/>
        <w:autoSpaceDN w:val="0"/>
        <w:adjustRightInd w:val="0"/>
        <w:spacing w:line="560" w:lineRule="exact"/>
        <w:ind w:firstLine="640" w:firstLineChars="200"/>
        <w:jc w:val="left"/>
        <w:rPr>
          <w:rFonts w:ascii="仿宋" w:hAnsi="仿宋" w:eastAsia="仿宋" w:cs="仿宋"/>
          <w:b/>
          <w:bCs/>
          <w:color w:val="FF0000"/>
          <w:sz w:val="32"/>
          <w:szCs w:val="32"/>
        </w:rPr>
      </w:pPr>
      <w:r>
        <w:rPr>
          <w:rFonts w:hint="eastAsia" w:ascii="仿宋" w:hAnsi="仿宋" w:eastAsia="仿宋" w:cs="仿宋"/>
          <w:color w:val="000000"/>
          <w:sz w:val="32"/>
          <w:szCs w:val="32"/>
        </w:rPr>
        <w:t>截至2021年12月31日，本单位车辆数为0台，单价50万元以上专用设备0台（套），单价100万元以上专用设备0台（套）。</w:t>
      </w:r>
    </w:p>
    <w:p>
      <w:pPr>
        <w:autoSpaceDE w:val="0"/>
        <w:autoSpaceDN w:val="0"/>
        <w:adjustRightInd w:val="0"/>
        <w:spacing w:line="558"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58"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年初预算编制阶段，组织对2个项目开展了预算事前绩效评估，对2个项目编制了绩效目标，预算执行过程中，对2个项目开展了绩效监控，年终执行完毕后，对2个项目开展了绩效目标完成情况梳理填报。</w:t>
      </w:r>
      <w:r>
        <w:rPr>
          <w:rFonts w:hint="eastAsia" w:ascii="仿宋" w:hAnsi="仿宋" w:eastAsia="仿宋" w:cs="仿宋_GB2312"/>
          <w:b/>
          <w:sz w:val="28"/>
          <w:szCs w:val="28"/>
        </w:rPr>
        <w:t>2021年特定目标类单位预算项目绩效目标自评表见附件（第四部分）</w:t>
      </w:r>
    </w:p>
    <w:p>
      <w:pPr>
        <w:adjustRightInd w:val="0"/>
        <w:snapToGrid w:val="0"/>
        <w:spacing w:line="558"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定了《通江县铁溪镇朱元乡卫生院固定资产管理办法》，对资产的配置、处置、管理和清查进行了规范。制定了《通江县铁溪镇朱元乡卫生院专项资金管理制度》，严格执行会议费、差旅费、培训费、公务接待费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lang w:val="zh-CN"/>
        </w:rPr>
        <w:t>二是基本公共卫生服务工作严格按照方案落实了基本公共卫生服务的各项工作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w:t>
      </w:r>
      <w:bookmarkStart w:id="121" w:name="_GoBack"/>
      <w:r>
        <w:rPr>
          <w:rFonts w:hint="eastAsia" w:ascii="仿宋" w:hAnsi="仿宋" w:eastAsia="仿宋" w:cs="仿宋"/>
          <w:sz w:val="32"/>
          <w:szCs w:val="32"/>
          <w:u w:val="thick" w:color="FFB03A"/>
          <w:shd w:val="clear" w:fill="FFEFD8"/>
          <w:lang w:val="zh-CN"/>
        </w:rPr>
        <w:t>三是</w:t>
      </w:r>
      <w:bookmarkEnd w:id="121"/>
      <w:r>
        <w:rPr>
          <w:rFonts w:hint="eastAsia" w:ascii="仿宋" w:hAnsi="仿宋" w:eastAsia="仿宋" w:cs="仿宋"/>
          <w:sz w:val="32"/>
          <w:szCs w:val="32"/>
          <w:lang w:val="zh-CN"/>
        </w:rPr>
        <w:t>基药补助的落实，严格按照药品零差价销售，在药品价格上老百姓得到了真正的廉价药品，让老百姓得到了实惠，四是村卫生室定额补助的实施，让乡村医生放心工作。</w:t>
      </w:r>
    </w:p>
    <w:p>
      <w:pPr>
        <w:spacing w:line="558" w:lineRule="exact"/>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58" w:lineRule="exact"/>
        <w:rPr>
          <w:rFonts w:ascii="仿宋" w:hAnsi="仿宋" w:eastAsia="仿宋" w:cs="仿宋"/>
          <w:sz w:val="32"/>
          <w:szCs w:val="32"/>
        </w:rPr>
      </w:pPr>
      <w:r>
        <w:rPr>
          <w:rFonts w:hint="eastAsia" w:ascii="仿宋" w:hAnsi="仿宋" w:eastAsia="仿宋" w:cs="仿宋"/>
          <w:sz w:val="32"/>
          <w:szCs w:val="32"/>
        </w:rPr>
        <w:t>铁溪中心卫生院在2021年度部门决算中反映项目共计4个，一是基本公共卫生项目，二是驻村帮扶项目。</w:t>
      </w:r>
      <w:r>
        <w:rPr>
          <w:rFonts w:hint="eastAsia" w:ascii="仿宋" w:hAnsi="仿宋" w:eastAsia="仿宋" w:cs="仿宋"/>
          <w:sz w:val="32"/>
          <w:szCs w:val="32"/>
          <w:u w:val="thick" w:color="FFB03A"/>
          <w:shd w:val="clear" w:fill="FFEFD8"/>
        </w:rPr>
        <w:t>三是</w:t>
      </w:r>
      <w:r>
        <w:rPr>
          <w:rFonts w:hint="eastAsia" w:ascii="仿宋" w:hAnsi="仿宋" w:eastAsia="仿宋" w:cs="仿宋"/>
          <w:sz w:val="32"/>
          <w:szCs w:val="32"/>
        </w:rPr>
        <w:t>基药补助项目，四是村卫生室定额补助项目，现将4个项目绩效目标的完成情况作如下综述。</w:t>
      </w:r>
    </w:p>
    <w:p>
      <w:pPr>
        <w:adjustRightInd w:val="0"/>
        <w:snapToGrid w:val="0"/>
        <w:spacing w:line="558" w:lineRule="exact"/>
        <w:ind w:firstLine="157" w:firstLineChars="49"/>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line="558" w:lineRule="exact"/>
        <w:ind w:firstLine="157" w:firstLineChars="49"/>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58" w:lineRule="exact"/>
        <w:ind w:firstLine="320" w:firstLineChars="100"/>
        <w:rPr>
          <w:rFonts w:ascii="仿宋_GB2312" w:eastAsia="仿宋_GB2312"/>
          <w:b/>
          <w:sz w:val="28"/>
          <w:szCs w:val="28"/>
          <w:shd w:val="clear" w:color="auto" w:fill="FFFFFF"/>
        </w:rPr>
      </w:pPr>
      <w:r>
        <w:rPr>
          <w:rFonts w:hint="eastAsia" w:ascii="仿宋" w:hAnsi="仿宋" w:eastAsia="仿宋" w:cs="仿宋"/>
          <w:sz w:val="32"/>
          <w:szCs w:val="32"/>
        </w:rPr>
        <w:t>2021年，我院分别对铁朱元村等实行了对口帮扶工作，分别派驻了驻村工作干部1名，帮扶精准扶贫户23户，驻村队员每个月至少22天蹲点驻村，分别对精准扶贫政策进行了宣讲，特别是健康扶贫政策讲解，深入到村民家中，与帮扶对象谈心谈话、同吃同劳动，了解和解决村民的难点问题。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58" w:lineRule="exact"/>
        <w:rPr>
          <w:rFonts w:ascii="仿宋" w:hAnsi="仿宋" w:eastAsia="仿宋" w:cs="仿宋"/>
          <w:sz w:val="32"/>
          <w:szCs w:val="32"/>
        </w:rPr>
      </w:pPr>
      <w:r>
        <w:rPr>
          <w:rFonts w:hint="eastAsia" w:ascii="仿宋" w:hAnsi="仿宋" w:eastAsia="仿宋" w:cs="仿宋"/>
          <w:b/>
          <w:bCs/>
          <w:sz w:val="32"/>
          <w:szCs w:val="32"/>
        </w:rPr>
        <w:t>2.开展绩效评价结果。</w:t>
      </w:r>
    </w:p>
    <w:p>
      <w:pPr>
        <w:spacing w:line="558"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本单位按要求对2021年部门整体支出绩效评价情况开展自评，同时对基本公共卫生和扶贫工作经费等4个项目开展绩效评价。</w:t>
      </w:r>
    </w:p>
    <w:p>
      <w:pPr>
        <w:numPr>
          <w:ilvl w:val="0"/>
          <w:numId w:val="3"/>
        </w:numPr>
        <w:spacing w:line="600" w:lineRule="exact"/>
        <w:ind w:firstLine="660" w:firstLineChars="150"/>
        <w:jc w:val="center"/>
        <w:outlineLvl w:val="0"/>
        <w:rPr>
          <w:rStyle w:val="27"/>
          <w:rFonts w:ascii="黑体" w:hAnsi="黑体" w:eastAsia="黑体"/>
          <w:b w:val="0"/>
        </w:rPr>
      </w:pPr>
      <w:bookmarkStart w:id="83" w:name="_Toc15396613"/>
      <w:bookmarkStart w:id="84" w:name="_Toc15377225"/>
      <w:bookmarkStart w:id="85" w:name="_Toc26040"/>
      <w:r>
        <w:rPr>
          <w:rFonts w:hint="eastAsia" w:ascii="黑体" w:hAnsi="黑体" w:eastAsia="黑体"/>
          <w:sz w:val="44"/>
          <w:szCs w:val="44"/>
        </w:rPr>
        <w:t>名</w:t>
      </w:r>
      <w:r>
        <w:rPr>
          <w:rStyle w:val="27"/>
          <w:rFonts w:hint="eastAsia" w:ascii="黑体" w:hAnsi="黑体" w:eastAsia="黑体"/>
          <w:b w:val="0"/>
        </w:rPr>
        <w:t>词解释</w:t>
      </w:r>
      <w:bookmarkEnd w:id="83"/>
      <w:bookmarkEnd w:id="84"/>
      <w:bookmarkEnd w:id="85"/>
    </w:p>
    <w:p>
      <w:pPr>
        <w:spacing w:line="600" w:lineRule="exact"/>
        <w:jc w:val="left"/>
        <w:rPr>
          <w:rFonts w:ascii="宋体"/>
          <w:b/>
          <w:sz w:val="44"/>
          <w:szCs w:val="44"/>
        </w:rPr>
      </w:pPr>
    </w:p>
    <w:p>
      <w:pPr>
        <w:pStyle w:val="25"/>
        <w:spacing w:line="560" w:lineRule="exact"/>
        <w:ind w:firstLine="640" w:firstLineChars="200"/>
        <w:outlineLvl w:val="1"/>
        <w:rPr>
          <w:rFonts w:hAnsi="仿宋"/>
          <w:sz w:val="32"/>
          <w:szCs w:val="32"/>
        </w:rPr>
      </w:pPr>
      <w:bookmarkStart w:id="86" w:name="_Toc27110"/>
      <w:bookmarkStart w:id="87" w:name="_Toc19371"/>
      <w:r>
        <w:rPr>
          <w:rFonts w:hint="eastAsia" w:hAnsi="仿宋"/>
          <w:sz w:val="32"/>
          <w:szCs w:val="32"/>
        </w:rPr>
        <w:t>1.财政拨款收入：指单位从同级财政部门取得的财政预算资金。</w:t>
      </w:r>
      <w:bookmarkEnd w:id="86"/>
      <w:bookmarkEnd w:id="87"/>
    </w:p>
    <w:p>
      <w:pPr>
        <w:pStyle w:val="25"/>
        <w:spacing w:line="560" w:lineRule="exact"/>
        <w:ind w:firstLine="640" w:firstLineChars="200"/>
        <w:rPr>
          <w:rFonts w:hAnsi="仿宋"/>
          <w:sz w:val="32"/>
          <w:szCs w:val="32"/>
        </w:rPr>
      </w:pPr>
      <w:r>
        <w:rPr>
          <w:rFonts w:hint="eastAsia" w:hAnsi="仿宋"/>
          <w:sz w:val="32"/>
          <w:szCs w:val="32"/>
        </w:rPr>
        <w:t>2.事业收入：指事业单位开展专业业务活动及辅助活动取得的收入。</w:t>
      </w:r>
    </w:p>
    <w:p>
      <w:pPr>
        <w:pStyle w:val="25"/>
        <w:spacing w:line="560" w:lineRule="exact"/>
        <w:ind w:firstLine="640" w:firstLineChars="200"/>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5"/>
        <w:spacing w:line="560" w:lineRule="exact"/>
        <w:ind w:firstLine="640" w:firstLineChars="200"/>
        <w:rPr>
          <w:rFonts w:hAnsi="仿宋"/>
          <w:sz w:val="32"/>
          <w:szCs w:val="32"/>
        </w:rPr>
      </w:pPr>
      <w:r>
        <w:rPr>
          <w:rFonts w:hint="eastAsia" w:hAnsi="仿宋"/>
          <w:sz w:val="32"/>
          <w:szCs w:val="32"/>
        </w:rPr>
        <w:t>4.其他收入：指单位取得的除上述收入以外的各项收入。</w:t>
      </w:r>
    </w:p>
    <w:p>
      <w:pPr>
        <w:pStyle w:val="25"/>
        <w:spacing w:line="560" w:lineRule="exact"/>
        <w:ind w:firstLine="640" w:firstLineChars="200"/>
        <w:rPr>
          <w:rFonts w:hAnsi="仿宋"/>
          <w:sz w:val="32"/>
          <w:szCs w:val="32"/>
        </w:rPr>
      </w:pPr>
      <w:r>
        <w:rPr>
          <w:rFonts w:hint="eastAsia" w:hAnsi="仿宋"/>
          <w:sz w:val="32"/>
          <w:szCs w:val="32"/>
        </w:rPr>
        <w:t>5.使用非财政拨款结余：指事业单位使用以前年度积累的非财政拨款结余弥补当年收支差额的金额。</w:t>
      </w:r>
    </w:p>
    <w:p>
      <w:pPr>
        <w:pStyle w:val="25"/>
        <w:spacing w:line="560" w:lineRule="exact"/>
        <w:ind w:firstLine="640" w:firstLineChars="200"/>
        <w:rPr>
          <w:rFonts w:hAnsi="仿宋"/>
          <w:sz w:val="32"/>
          <w:szCs w:val="32"/>
        </w:rPr>
      </w:pPr>
      <w:r>
        <w:rPr>
          <w:rFonts w:hint="eastAsia" w:hAnsi="仿宋"/>
          <w:sz w:val="32"/>
          <w:szCs w:val="32"/>
        </w:rPr>
        <w:t>6.年初结转和结余：指以前年度尚未完成、结转到</w:t>
      </w:r>
      <w:r>
        <w:rPr>
          <w:rFonts w:hint="eastAsia" w:hAnsi="仿宋"/>
          <w:sz w:val="32"/>
          <w:szCs w:val="32"/>
          <w:u w:val="none" w:color="46CD7E"/>
          <w:shd w:val="clear" w:fill="auto"/>
          <w:lang w:eastAsia="zh-CN"/>
        </w:rPr>
        <w:t>本年度</w:t>
      </w:r>
      <w:r>
        <w:rPr>
          <w:rFonts w:hint="eastAsia" w:hAnsi="仿宋"/>
          <w:sz w:val="32"/>
          <w:szCs w:val="32"/>
        </w:rPr>
        <w:t>有关规定继续使用的资金。</w:t>
      </w:r>
    </w:p>
    <w:p>
      <w:pPr>
        <w:pStyle w:val="25"/>
        <w:spacing w:line="560" w:lineRule="exact"/>
        <w:ind w:firstLine="640" w:firstLineChars="200"/>
        <w:rPr>
          <w:rFonts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5"/>
        <w:spacing w:line="560" w:lineRule="exact"/>
        <w:ind w:firstLine="640" w:firstLineChars="200"/>
        <w:rPr>
          <w:rFonts w:hAnsi="仿宋"/>
          <w:sz w:val="32"/>
          <w:szCs w:val="32"/>
        </w:rPr>
      </w:pPr>
      <w:r>
        <w:rPr>
          <w:rFonts w:hint="eastAsia" w:hAnsi="仿宋"/>
          <w:sz w:val="32"/>
          <w:szCs w:val="32"/>
        </w:rPr>
        <w:t>8</w:t>
      </w:r>
      <w:r>
        <w:rPr>
          <w:rFonts w:hint="eastAsia" w:hAnsi="仿宋"/>
          <w:sz w:val="32"/>
          <w:szCs w:val="32"/>
          <w:u w:val="none" w:color="46CD7E"/>
          <w:shd w:val="clear" w:fill="auto"/>
          <w:lang w:eastAsia="zh-CN"/>
        </w:rPr>
        <w:t>.</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u w:val="none" w:color="46CD7E"/>
          <w:shd w:val="clear" w:fill="auto"/>
        </w:rPr>
        <w:t>9.</w:t>
      </w:r>
      <w:r>
        <w:rPr>
          <w:rFonts w:hint="eastAsia" w:ascii="仿宋" w:hAnsi="仿宋" w:eastAsia="仿宋" w:cs="仿宋"/>
          <w:color w:val="000000"/>
          <w:sz w:val="32"/>
          <w:szCs w:val="32"/>
        </w:rPr>
        <w:t>一般公共服务（类）人力资源事务（款）引进人才费用（项）：指反映用于引进外国专家补助、引智成果推广等方面的支出。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10.教育（类）职业教育（款）中专教育（项）: 指各部门举办的各类中等专业学校的支出。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11.社会保障和就业（类）行政事业单位离退休（款）机关事业单位基本养老保险缴费支出（项）:指机关事业单位实施养老保险制度由单位缴纳的基本养老保险支出。</w:t>
      </w:r>
    </w:p>
    <w:p>
      <w:pPr>
        <w:pStyle w:val="25"/>
        <w:spacing w:line="560" w:lineRule="exact"/>
        <w:ind w:firstLine="640" w:firstLineChars="200"/>
        <w:rPr>
          <w:rFonts w:hAnsi="仿宋"/>
          <w:color w:val="auto"/>
          <w:sz w:val="32"/>
          <w:szCs w:val="32"/>
        </w:rPr>
      </w:pPr>
      <w:r>
        <w:rPr>
          <w:rFonts w:hint="eastAsia" w:hAnsi="仿宋"/>
          <w:color w:val="auto"/>
          <w:sz w:val="32"/>
          <w:szCs w:val="32"/>
        </w:rPr>
        <w:t>12. 卫生健康支出（类）卫生健康管理事务（款）行政运行（项）:指行政单位（包括实行公务员管理的事业单位）的基本支出。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pStyle w:val="25"/>
        <w:spacing w:line="560" w:lineRule="exact"/>
        <w:ind w:firstLine="640" w:firstLineChars="200"/>
        <w:rPr>
          <w:rFonts w:hAnsi="仿宋"/>
          <w:color w:val="auto"/>
          <w:sz w:val="32"/>
          <w:szCs w:val="32"/>
        </w:rPr>
      </w:pPr>
      <w:r>
        <w:rPr>
          <w:rFonts w:hint="eastAsia" w:hAnsi="仿宋"/>
          <w:color w:val="auto"/>
          <w:sz w:val="32"/>
          <w:szCs w:val="32"/>
        </w:rPr>
        <w:t>14.卫生健康支出（类）卫生健康管理事务（款）其他卫生健康管理事务支出（项）:指其他用于卫生健康管理事务方面的支出。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15.卫生健康支出（类）公立医院（款）综合医院（项）:指卫生健康、中医部门所属的城市综合性医院、独立门诊、教学医院、疗养院和县医院的支出。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16.卫生健康支出（类）公立医院（款）中医（民族）医院（项）:指卫生健康、中医部门所属的中医院、中西医结合医院、民族医院的支出。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17.卫生健康支出（类）公立医院（款）传染病医院（项）:指卫生健康、中医部门所属的专门收治各类传染病人的支出。</w:t>
      </w:r>
    </w:p>
    <w:p>
      <w:pPr>
        <w:pStyle w:val="25"/>
        <w:spacing w:line="560" w:lineRule="exact"/>
        <w:ind w:firstLine="640" w:firstLineChars="200"/>
        <w:rPr>
          <w:rFonts w:hAnsi="仿宋"/>
          <w:color w:val="auto"/>
          <w:sz w:val="32"/>
          <w:szCs w:val="32"/>
        </w:rPr>
      </w:pPr>
      <w:r>
        <w:rPr>
          <w:rFonts w:hint="eastAsia" w:hAnsi="仿宋"/>
          <w:color w:val="auto"/>
          <w:sz w:val="32"/>
          <w:szCs w:val="32"/>
        </w:rPr>
        <w:t>18.卫生健康支出（类）公立医院（款）其他公立医院支出（项）:指其他用于公立医院方面的支出。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19.卫生健康支出（类）基层医疗卫生机构（款）乡镇卫生院（项）：反映用于乡镇卫生院的支出。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20.卫生健康支出（类）基层医疗卫生机构（款）其他基层医疗卫生机构（项）：指用于村卫生室方面的支出。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pStyle w:val="25"/>
        <w:spacing w:line="560" w:lineRule="exact"/>
        <w:ind w:firstLine="640" w:firstLineChars="200"/>
        <w:rPr>
          <w:rFonts w:hAnsi="仿宋"/>
          <w:color w:val="auto"/>
          <w:sz w:val="32"/>
          <w:szCs w:val="32"/>
        </w:rPr>
      </w:pPr>
      <w:r>
        <w:rPr>
          <w:rFonts w:hint="eastAsia" w:hAnsi="仿宋"/>
          <w:color w:val="auto"/>
          <w:sz w:val="32"/>
          <w:szCs w:val="32"/>
        </w:rPr>
        <w:t>24.卫生健康支出（类）公共卫生（款）基本公共卫生服务（项）:指用于基本公共卫生服务支出。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25.卫生健康支出（类）公共卫生（款）重大公共卫生专项（项）:指重大疾病、重大传染病预防控制等重大公共卫生服务支出。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26.卫生健康支出（类）公共卫生（款）其他公共卫生支出（项）:指其他用于公共卫生方面的支出。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27.卫生健康支出（类）中医药（款）中医（民族医）药专项（项）:指中医（民族医）药方面的专项支出。</w:t>
      </w:r>
    </w:p>
    <w:p>
      <w:pPr>
        <w:pStyle w:val="25"/>
        <w:spacing w:line="560" w:lineRule="exact"/>
        <w:ind w:firstLine="640" w:firstLineChars="200"/>
        <w:rPr>
          <w:rFonts w:hAnsi="仿宋"/>
          <w:color w:val="auto"/>
          <w:sz w:val="32"/>
          <w:szCs w:val="32"/>
        </w:rPr>
      </w:pPr>
      <w:r>
        <w:rPr>
          <w:rFonts w:hint="eastAsia" w:hAnsi="仿宋"/>
          <w:color w:val="auto"/>
          <w:sz w:val="32"/>
          <w:szCs w:val="32"/>
        </w:rPr>
        <w:t>28.卫生健康支出（类）计划生育服务（款）计划生育服务（项）:指计划生育服务支出。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30.卫生健康支出（类）食品和药品监督管理事务（款）行政运行（项）:指行政单位（包括实行公务员管理的事业单位）的基本支出。</w:t>
      </w:r>
    </w:p>
    <w:p>
      <w:pPr>
        <w:pStyle w:val="25"/>
        <w:spacing w:line="560" w:lineRule="exact"/>
        <w:ind w:firstLine="640" w:firstLineChars="200"/>
        <w:rPr>
          <w:rFonts w:hAnsi="仿宋"/>
          <w:color w:val="auto"/>
          <w:sz w:val="32"/>
          <w:szCs w:val="32"/>
        </w:rPr>
      </w:pPr>
      <w:r>
        <w:rPr>
          <w:rFonts w:hint="eastAsia" w:hAnsi="仿宋"/>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33.卫生健康支出（类）行政事业单位医疗（款）其他行政事业单位医疗支出（项）:指其他用于行政事业单位医疗方面的支出。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35.农林水支出（类）扶贫（款）其他扶贫支出（项）:指其他用于扶贫方面的支出。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pStyle w:val="25"/>
        <w:spacing w:line="560" w:lineRule="exact"/>
        <w:ind w:firstLine="640" w:firstLineChars="200"/>
        <w:rPr>
          <w:rFonts w:hAnsi="仿宋"/>
          <w:color w:val="auto"/>
          <w:sz w:val="32"/>
          <w:szCs w:val="32"/>
        </w:rPr>
      </w:pPr>
      <w:r>
        <w:rPr>
          <w:rFonts w:hint="eastAsia" w:hAnsi="仿宋"/>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color w:val="auto"/>
          <w:sz w:val="32"/>
          <w:szCs w:val="32"/>
        </w:rPr>
      </w:pPr>
      <w:r>
        <w:rPr>
          <w:rFonts w:hint="eastAsia" w:hAnsi="仿宋"/>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sz w:val="32"/>
          <w:szCs w:val="32"/>
        </w:rPr>
      </w:pPr>
    </w:p>
    <w:p>
      <w:pPr>
        <w:numPr>
          <w:ilvl w:val="0"/>
          <w:numId w:val="3"/>
        </w:numPr>
        <w:spacing w:line="600" w:lineRule="exact"/>
        <w:ind w:firstLine="315" w:firstLineChars="150"/>
        <w:jc w:val="center"/>
        <w:outlineLvl w:val="0"/>
        <w:rPr>
          <w:rStyle w:val="27"/>
          <w:rFonts w:ascii="黑体" w:hAnsi="黑体" w:eastAsia="黑体"/>
          <w:b w:val="0"/>
        </w:rPr>
      </w:pPr>
      <w:bookmarkStart w:id="88" w:name="_Toc15377226"/>
      <w:r>
        <w:br w:type="page"/>
      </w:r>
      <w:bookmarkStart w:id="89" w:name="_Toc15396614"/>
      <w:bookmarkStart w:id="90" w:name="_Toc8721"/>
      <w:r>
        <w:rPr>
          <w:rStyle w:val="27"/>
          <w:rFonts w:hint="eastAsia" w:ascii="黑体" w:hAnsi="黑体" w:eastAsia="黑体"/>
          <w:b w:val="0"/>
        </w:rPr>
        <w:t>附件</w:t>
      </w:r>
      <w:bookmarkEnd w:id="89"/>
      <w:bookmarkEnd w:id="90"/>
    </w:p>
    <w:p>
      <w:pPr>
        <w:pStyle w:val="3"/>
        <w:spacing w:before="93"/>
        <w:outlineLvl w:val="1"/>
      </w:pPr>
      <w:r>
        <w:rPr>
          <w:rStyle w:val="27"/>
          <w:rFonts w:hint="eastAsia" w:ascii="宋体" w:hAnsi="宋体" w:eastAsia="宋体" w:cs="宋体"/>
          <w:b w:val="0"/>
          <w:sz w:val="28"/>
          <w:szCs w:val="28"/>
        </w:rPr>
        <w:t>附件1</w:t>
      </w:r>
    </w:p>
    <w:p>
      <w:pPr>
        <w:pStyle w:val="3"/>
        <w:spacing w:before="93"/>
      </w:pPr>
    </w:p>
    <w:tbl>
      <w:tblPr>
        <w:tblStyle w:val="5"/>
        <w:tblpPr w:leftFromText="180" w:rightFromText="180" w:vertAnchor="text" w:horzAnchor="page" w:tblpX="1411" w:tblpY="964"/>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bookmarkStart w:id="91" w:name="_Toc32335"/>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color w:val="000000"/>
                <w:kern w:val="0"/>
                <w:sz w:val="18"/>
                <w:szCs w:val="18"/>
              </w:rPr>
              <w:t>通江县铁溪镇朱元乡卫生院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项目预算</w:t>
            </w:r>
          </w:p>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执行情况</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66.66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66.66</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66.66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66.66</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目标1：改善老百姓看病难看病贵的问题</w:t>
            </w:r>
            <w:r>
              <w:t>。</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目标2：提升医疗服务能力</w:t>
            </w:r>
            <w:r>
              <w:t>。</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实行了全部西药、中成药零加成，减轻了老百姓看病贵的负担；2</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精准扶贫经费按时按标准发放</w:t>
            </w:r>
            <w:r>
              <w:rPr>
                <w:rFonts w:hint="eastAsia" w:ascii="宋体" w:hAnsi="宋体" w:cs="宋体"/>
                <w:color w:val="000000"/>
                <w:kern w:val="0"/>
                <w:sz w:val="18"/>
                <w:szCs w:val="18"/>
                <w:u w:val="none" w:color="46CD7E"/>
                <w:shd w:val="clear" w:fill="auto"/>
                <w:lang w:eastAsia="zh-CN"/>
              </w:rPr>
              <w:t>给</w:t>
            </w:r>
            <w:r>
              <w:rPr>
                <w:rFonts w:hint="eastAsia" w:ascii="宋体" w:hAnsi="宋体" w:cs="宋体"/>
                <w:color w:val="000000"/>
                <w:kern w:val="0"/>
                <w:sz w:val="18"/>
                <w:szCs w:val="18"/>
              </w:rPr>
              <w:t>驻村工作人员，扶贫工作有序开展；3</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顺利完成2020年度基本公共卫生工作，改善了老百姓的就医环境，减轻了老百姓的就医负担，提高了老百姓的满意度。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一级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二级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三级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完成</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7人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7人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≥6次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≥6次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≥197次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≥197次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≤173.3万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≤173.3万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效益</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Cs w:val="21"/>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宋体" w:hAnsi="宋体" w:cs="宋体"/>
                <w:sz w:val="18"/>
                <w:szCs w:val="18"/>
              </w:rPr>
            </w:pPr>
            <w:r>
              <w:rPr>
                <w:rFonts w:hint="eastAsia" w:ascii="宋体" w:hAnsi="宋体" w:cs="宋体"/>
                <w:kern w:val="0"/>
                <w:sz w:val="18"/>
                <w:szCs w:val="1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Cs w:val="21"/>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满意度</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bookmarkEnd w:id="91"/>
          </w:p>
        </w:tc>
      </w:tr>
    </w:tbl>
    <w:p>
      <w:pPr>
        <w:pStyle w:val="3"/>
        <w:spacing w:before="93"/>
        <w:outlineLvl w:val="1"/>
        <w:rPr>
          <w:rFonts w:eastAsia="宋体"/>
        </w:rPr>
      </w:pPr>
    </w:p>
    <w:p>
      <w:pPr>
        <w:spacing w:line="600" w:lineRule="exact"/>
        <w:jc w:val="center"/>
        <w:rPr>
          <w:rFonts w:ascii="黑体" w:hAnsi="黑体" w:eastAsia="黑体"/>
          <w:sz w:val="44"/>
          <w:szCs w:val="44"/>
        </w:rPr>
      </w:pPr>
      <w:bookmarkStart w:id="92" w:name="_Toc15396618"/>
    </w:p>
    <w:p>
      <w:pPr>
        <w:spacing w:line="600" w:lineRule="exact"/>
        <w:jc w:val="center"/>
        <w:outlineLvl w:val="0"/>
        <w:rPr>
          <w:rFonts w:ascii="黑体" w:hAnsi="黑体" w:eastAsia="黑体"/>
          <w:sz w:val="44"/>
          <w:szCs w:val="44"/>
        </w:rPr>
      </w:pPr>
      <w:bookmarkStart w:id="93" w:name="_Toc888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五部分附表</w:t>
      </w:r>
      <w:bookmarkEnd w:id="88"/>
      <w:bookmarkEnd w:id="92"/>
      <w:bookmarkEnd w:id="93"/>
      <w:bookmarkStart w:id="94" w:name="_Toc15396619"/>
    </w:p>
    <w:p>
      <w:pPr>
        <w:pStyle w:val="12"/>
        <w:spacing w:before="0" w:after="0" w:line="640" w:lineRule="exact"/>
        <w:rPr>
          <w:rFonts w:ascii="仿宋" w:hAnsi="仿宋" w:eastAsia="仿宋"/>
          <w:b w:val="0"/>
        </w:rPr>
      </w:pPr>
      <w:bookmarkStart w:id="95" w:name="_Toc17354"/>
    </w:p>
    <w:p>
      <w:pPr>
        <w:pStyle w:val="12"/>
        <w:spacing w:before="0" w:after="0" w:line="640" w:lineRule="exact"/>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w:t>
      </w:r>
      <w:r>
        <w:rPr>
          <w:rFonts w:hint="eastAsia" w:ascii="仿宋" w:hAnsi="仿宋" w:eastAsia="仿宋"/>
          <w:b w:val="0"/>
          <w:bCs w:val="0"/>
        </w:rPr>
        <w:t>总表</w:t>
      </w:r>
      <w:bookmarkEnd w:id="94"/>
      <w:bookmarkEnd w:id="95"/>
    </w:p>
    <w:p>
      <w:pPr>
        <w:pStyle w:val="12"/>
        <w:spacing w:before="0" w:after="0" w:line="640" w:lineRule="exact"/>
        <w:rPr>
          <w:rFonts w:ascii="仿宋" w:hAnsi="仿宋" w:eastAsia="仿宋"/>
        </w:rPr>
      </w:pPr>
      <w:bookmarkStart w:id="96" w:name="_Toc18598"/>
      <w:bookmarkStart w:id="97" w:name="_Toc15396620"/>
      <w:r>
        <w:rPr>
          <w:rFonts w:hint="eastAsia" w:ascii="仿宋" w:hAnsi="仿宋" w:eastAsia="仿宋"/>
          <w:b w:val="0"/>
        </w:rPr>
        <w:t>二、收</w:t>
      </w:r>
      <w:r>
        <w:rPr>
          <w:rStyle w:val="28"/>
          <w:rFonts w:hint="eastAsia" w:ascii="仿宋" w:hAnsi="仿宋" w:eastAsia="仿宋"/>
          <w:b w:val="0"/>
          <w:bCs w:val="0"/>
        </w:rPr>
        <w:t>入决算</w:t>
      </w:r>
      <w:r>
        <w:rPr>
          <w:rFonts w:hint="eastAsia" w:ascii="仿宋" w:hAnsi="仿宋" w:eastAsia="仿宋"/>
          <w:b w:val="0"/>
          <w:bCs w:val="0"/>
        </w:rPr>
        <w:t>表</w:t>
      </w:r>
      <w:bookmarkEnd w:id="96"/>
      <w:bookmarkEnd w:id="97"/>
    </w:p>
    <w:p>
      <w:pPr>
        <w:pStyle w:val="12"/>
        <w:spacing w:before="0" w:after="0" w:line="640" w:lineRule="exact"/>
        <w:rPr>
          <w:rFonts w:ascii="仿宋" w:hAnsi="仿宋" w:eastAsia="仿宋"/>
        </w:rPr>
      </w:pPr>
      <w:bookmarkStart w:id="98" w:name="_Toc2299"/>
      <w:bookmarkStart w:id="99"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w:t>
      </w:r>
      <w:r>
        <w:rPr>
          <w:rFonts w:hint="eastAsia" w:ascii="仿宋" w:hAnsi="仿宋" w:eastAsia="仿宋"/>
          <w:b w:val="0"/>
          <w:bCs w:val="0"/>
        </w:rPr>
        <w:t>表</w:t>
      </w:r>
      <w:bookmarkEnd w:id="98"/>
      <w:bookmarkEnd w:id="99"/>
    </w:p>
    <w:p>
      <w:pPr>
        <w:pStyle w:val="12"/>
        <w:spacing w:before="0" w:after="0" w:line="640" w:lineRule="exact"/>
        <w:rPr>
          <w:rFonts w:ascii="仿宋" w:hAnsi="仿宋" w:eastAsia="仿宋"/>
          <w:b w:val="0"/>
        </w:rPr>
      </w:pPr>
      <w:bookmarkStart w:id="100" w:name="_Toc15396622"/>
      <w:bookmarkStart w:id="101" w:name="_Toc1459"/>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w:t>
      </w:r>
      <w:r>
        <w:rPr>
          <w:rFonts w:hint="eastAsia" w:ascii="仿宋" w:hAnsi="仿宋" w:eastAsia="仿宋"/>
          <w:b w:val="0"/>
          <w:bCs w:val="0"/>
        </w:rPr>
        <w:t>总表</w:t>
      </w:r>
      <w:bookmarkEnd w:id="100"/>
      <w:bookmarkEnd w:id="101"/>
    </w:p>
    <w:p>
      <w:pPr>
        <w:pStyle w:val="12"/>
        <w:spacing w:before="0" w:after="0" w:line="640" w:lineRule="exact"/>
        <w:rPr>
          <w:rStyle w:val="28"/>
          <w:rFonts w:ascii="仿宋" w:hAnsi="仿宋" w:eastAsia="仿宋"/>
          <w:b w:val="0"/>
          <w:bCs w:val="0"/>
        </w:rPr>
      </w:pPr>
      <w:bookmarkStart w:id="102" w:name="_Toc15396623"/>
      <w:bookmarkStart w:id="103" w:name="_Toc5905"/>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w:t>
      </w:r>
      <w:r>
        <w:rPr>
          <w:rFonts w:hint="eastAsia" w:ascii="仿宋" w:hAnsi="仿宋" w:eastAsia="仿宋"/>
          <w:b w:val="0"/>
          <w:bCs w:val="0"/>
        </w:rPr>
        <w:t>明细表</w:t>
      </w:r>
      <w:bookmarkEnd w:id="102"/>
      <w:bookmarkEnd w:id="103"/>
      <w:bookmarkStart w:id="104" w:name="_Toc15396624"/>
    </w:p>
    <w:p>
      <w:pPr>
        <w:pStyle w:val="12"/>
        <w:spacing w:before="0" w:after="0" w:line="640" w:lineRule="exact"/>
        <w:rPr>
          <w:rFonts w:ascii="仿宋" w:hAnsi="仿宋" w:eastAsia="仿宋"/>
        </w:rPr>
      </w:pPr>
      <w:bookmarkStart w:id="105" w:name="_Toc19028"/>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104"/>
      <w:bookmarkEnd w:id="105"/>
    </w:p>
    <w:p>
      <w:pPr>
        <w:pStyle w:val="12"/>
        <w:spacing w:before="0" w:after="0" w:line="640" w:lineRule="exact"/>
        <w:rPr>
          <w:rFonts w:ascii="仿宋" w:hAnsi="仿宋" w:eastAsia="仿宋"/>
        </w:rPr>
      </w:pPr>
      <w:bookmarkStart w:id="106" w:name="_Toc16552"/>
      <w:bookmarkStart w:id="107"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106"/>
      <w:bookmarkEnd w:id="107"/>
    </w:p>
    <w:p>
      <w:pPr>
        <w:pStyle w:val="12"/>
        <w:spacing w:before="0" w:after="0" w:line="640" w:lineRule="exact"/>
        <w:rPr>
          <w:rFonts w:ascii="仿宋" w:hAnsi="仿宋" w:eastAsia="仿宋"/>
        </w:rPr>
      </w:pPr>
      <w:bookmarkStart w:id="108" w:name="_Toc6853"/>
      <w:bookmarkStart w:id="109"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108"/>
      <w:bookmarkEnd w:id="109"/>
    </w:p>
    <w:p>
      <w:pPr>
        <w:pStyle w:val="12"/>
        <w:spacing w:before="0" w:after="0" w:line="640" w:lineRule="exact"/>
        <w:rPr>
          <w:rFonts w:ascii="仿宋" w:hAnsi="仿宋" w:eastAsia="仿宋"/>
        </w:rPr>
      </w:pPr>
      <w:bookmarkStart w:id="110" w:name="_Toc19663"/>
      <w:bookmarkStart w:id="111"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10"/>
      <w:bookmarkEnd w:id="111"/>
    </w:p>
    <w:p>
      <w:pPr>
        <w:pStyle w:val="12"/>
        <w:spacing w:before="0" w:after="0" w:line="640" w:lineRule="exact"/>
        <w:rPr>
          <w:rFonts w:ascii="仿宋" w:hAnsi="仿宋" w:eastAsia="仿宋"/>
        </w:rPr>
      </w:pPr>
      <w:bookmarkStart w:id="112" w:name="_Toc15396628"/>
      <w:bookmarkStart w:id="113" w:name="_Toc20094"/>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12"/>
      <w:bookmarkEnd w:id="113"/>
    </w:p>
    <w:p>
      <w:pPr>
        <w:pStyle w:val="12"/>
        <w:spacing w:before="0" w:after="0" w:line="640" w:lineRule="exact"/>
        <w:rPr>
          <w:rFonts w:ascii="仿宋" w:hAnsi="仿宋" w:eastAsia="仿宋"/>
        </w:rPr>
      </w:pPr>
      <w:bookmarkStart w:id="114" w:name="_Toc15396629"/>
      <w:bookmarkStart w:id="115" w:name="_Toc14142"/>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14"/>
      <w:bookmarkEnd w:id="115"/>
    </w:p>
    <w:p>
      <w:pPr>
        <w:pStyle w:val="12"/>
        <w:spacing w:before="0" w:after="0" w:line="640" w:lineRule="exact"/>
        <w:rPr>
          <w:rFonts w:ascii="仿宋" w:hAnsi="仿宋" w:eastAsia="仿宋"/>
        </w:rPr>
      </w:pPr>
      <w:bookmarkStart w:id="116" w:name="_Toc21509"/>
      <w:bookmarkStart w:id="117" w:name="_Toc15396630"/>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16"/>
      <w:bookmarkEnd w:id="117"/>
    </w:p>
    <w:p>
      <w:pPr>
        <w:pStyle w:val="12"/>
        <w:spacing w:before="0" w:after="0" w:line="640" w:lineRule="exact"/>
        <w:rPr>
          <w:rStyle w:val="28"/>
          <w:rFonts w:ascii="仿宋" w:hAnsi="仿宋" w:eastAsia="仿宋"/>
          <w:b w:val="0"/>
          <w:bCs w:val="0"/>
        </w:rPr>
      </w:pPr>
      <w:bookmarkStart w:id="118" w:name="_Toc15396631"/>
      <w:bookmarkStart w:id="119" w:name="_Toc22345"/>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w:t>
      </w:r>
      <w:r>
        <w:rPr>
          <w:rFonts w:hint="eastAsia" w:ascii="仿宋" w:hAnsi="仿宋" w:eastAsia="仿宋"/>
          <w:b w:val="0"/>
          <w:bCs w:val="0"/>
        </w:rPr>
        <w:t>资本经营</w:t>
      </w:r>
      <w:r>
        <w:rPr>
          <w:rStyle w:val="28"/>
          <w:rFonts w:hint="eastAsia" w:ascii="仿宋" w:hAnsi="仿宋" w:eastAsia="仿宋"/>
          <w:b w:val="0"/>
          <w:bCs w:val="0"/>
        </w:rPr>
        <w:t>预算财政拨款收入支出决算</w:t>
      </w:r>
      <w:r>
        <w:rPr>
          <w:rFonts w:hint="eastAsia" w:ascii="仿宋" w:hAnsi="仿宋" w:eastAsia="仿宋"/>
          <w:b w:val="0"/>
          <w:bCs w:val="0"/>
        </w:rPr>
        <w:t>表</w:t>
      </w:r>
      <w:bookmarkEnd w:id="118"/>
      <w:bookmarkEnd w:id="119"/>
    </w:p>
    <w:p>
      <w:pPr>
        <w:spacing w:line="640" w:lineRule="exact"/>
        <w:rPr>
          <w:rFonts w:eastAsia="仿宋"/>
          <w:sz w:val="32"/>
          <w:szCs w:val="32"/>
        </w:rPr>
      </w:pPr>
      <w:bookmarkStart w:id="120" w:name="_Toc25764"/>
      <w:r>
        <w:rPr>
          <w:rStyle w:val="28"/>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20"/>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汉仪旗黑-55简">
    <w:altName w:val="黑体"/>
    <w:panose1 w:val="00020600040101010101"/>
    <w:charset w:val="8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11</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02F74"/>
    <w:multiLevelType w:val="singleLevel"/>
    <w:tmpl w:val="05802F74"/>
    <w:lvl w:ilvl="0" w:tentative="0">
      <w:start w:val="9"/>
      <w:numFmt w:val="chineseCounting"/>
      <w:suff w:val="nothing"/>
      <w:lvlText w:val="%1、"/>
      <w:lvlJc w:val="left"/>
      <w:rPr>
        <w:rFonts w:hint="eastAsia"/>
      </w:rPr>
    </w:lvl>
  </w:abstractNum>
  <w:abstractNum w:abstractNumId="1">
    <w:nsid w:val="19660E96"/>
    <w:multiLevelType w:val="singleLevel"/>
    <w:tmpl w:val="19660E96"/>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9495EA8"/>
    <w:multiLevelType w:val="multilevel"/>
    <w:tmpl w:val="39495EA8"/>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067F2A"/>
    <w:rsid w:val="00067F2A"/>
    <w:rsid w:val="002570C2"/>
    <w:rsid w:val="004A4460"/>
    <w:rsid w:val="54D475EB"/>
    <w:rsid w:val="6EDB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文字 Char"/>
    <w:basedOn w:val="7"/>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7"/>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oleObject" Target="&#24037;&#20316;&#31807;7"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4" TargetMode="External"/></Relationships>
</file>

<file path=word/charts/_rels/chart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oleObject" Target="&#24037;&#20316;&#31807;5"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spc="0" baseline="0">
                <a:ln w="0" cmpd="sng">
                  <a:noFill/>
                  <a:prstDash val="solid"/>
                </a:ln>
                <a:solidFill>
                  <a:schemeClr val="bg1"/>
                </a:solidFill>
                <a:effectLst/>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单位：万元</a:t>
            </a:r>
          </a:p>
        </c:rich>
      </c:tx>
      <c:layout>
        <c:manualLayout>
          <c:xMode val="edge"/>
          <c:yMode val="edge"/>
          <c:x val="0.738286081351799"/>
          <c:y val="0.0562293274531422"/>
        </c:manualLayout>
      </c:layout>
      <c:overlay val="0"/>
      <c:spPr>
        <a:noFill/>
        <a:ln>
          <a:noFill/>
        </a:ln>
        <a:effectLst/>
      </c:spPr>
    </c:title>
    <c:autoTitleDeleted val="0"/>
    <c:plotArea>
      <c:layout>
        <c:manualLayout>
          <c:layoutTarget val="inner"/>
          <c:xMode val="edge"/>
          <c:yMode val="edge"/>
          <c:x val="0.152155735563104"/>
          <c:y val="0.245865490628445"/>
          <c:w val="0.716671021688007"/>
          <c:h val="0.628533627342889"/>
        </c:manualLayout>
      </c:layout>
      <c:barChart>
        <c:barDir val="col"/>
        <c:grouping val="clustered"/>
        <c:varyColors val="0"/>
        <c:ser>
          <c:idx val="0"/>
          <c:order val="0"/>
          <c:tx>
            <c:strRef>
              <c:f>[工作簿7]Sheet1!$B$1</c:f>
              <c:strCache>
                <c:ptCount val="1"/>
                <c:pt idx="0">
                  <c:v>2020年</c:v>
                </c:pt>
              </c:strCache>
            </c:strRef>
          </c:tx>
          <c:spPr>
            <a:blipFill rotWithShape="1">
              <a:blip xmlns:r="http://schemas.openxmlformats.org/officeDocument/2006/relationships" r:embed="rId2"/>
              <a:stretch>
                <a:fillRect/>
              </a:stretch>
            </a:blip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[工作簿7]Sheet1!$A$2:$A$3</c:f>
              <c:strCache>
                <c:ptCount val="2"/>
                <c:pt idx="0">
                  <c:v>收入合计</c:v>
                </c:pt>
                <c:pt idx="1">
                  <c:v>支出合计</c:v>
                </c:pt>
              </c:strCache>
            </c:strRef>
          </c:cat>
          <c:val>
            <c:numRef>
              <c:f>[工作簿7]Sheet1!$B$2:$B$3</c:f>
              <c:numCache>
                <c:formatCode>General</c:formatCode>
                <c:ptCount val="2"/>
                <c:pt idx="0">
                  <c:v>238.84</c:v>
                </c:pt>
                <c:pt idx="1">
                  <c:v>238.84</c:v>
                </c:pt>
              </c:numCache>
            </c:numRef>
          </c:val>
        </c:ser>
        <c:ser>
          <c:idx val="1"/>
          <c:order val="1"/>
          <c:tx>
            <c:strRef>
              <c:f>[工作簿7]Sheet1!$C$1</c:f>
              <c:strCache>
                <c:ptCount val="1"/>
                <c:pt idx="0">
                  <c:v>2021年</c:v>
                </c:pt>
              </c:strCache>
            </c:strRef>
          </c:tx>
          <c:spPr>
            <a:blipFill rotWithShape="1">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[工作簿7]Sheet1!$A$2:$A$3</c:f>
              <c:strCache>
                <c:ptCount val="2"/>
                <c:pt idx="0">
                  <c:v>收入合计</c:v>
                </c:pt>
                <c:pt idx="1">
                  <c:v>支出合计</c:v>
                </c:pt>
              </c:strCache>
            </c:strRef>
          </c:cat>
          <c:val>
            <c:numRef>
              <c:f>[工作簿7]Sheet1!$C$2:$C$3</c:f>
              <c:numCache>
                <c:formatCode>General</c:formatCode>
                <c:ptCount val="2"/>
                <c:pt idx="0">
                  <c:v>286.33</c:v>
                </c:pt>
                <c:pt idx="1">
                  <c:v>286.33</c:v>
                </c:pt>
              </c:numCache>
            </c:numRef>
          </c:val>
        </c:ser>
        <c:dLbls>
          <c:showLegendKey val="0"/>
          <c:showVal val="1"/>
          <c:showCatName val="0"/>
          <c:showSerName val="0"/>
          <c:showPercent val="0"/>
          <c:showBubbleSize val="0"/>
        </c:dLbls>
        <c:gapWidth val="148"/>
        <c:overlap val="-35"/>
        <c:axId val="144051200"/>
        <c:axId val="144083968"/>
      </c:barChart>
      <c:catAx>
        <c:axId val="144051200"/>
        <c:scaling>
          <c:orientation val="minMax"/>
        </c:scaling>
        <c:delete val="0"/>
        <c:axPos val="b"/>
        <c:numFmt formatCode="General" sourceLinked="1"/>
        <c:majorTickMark val="none"/>
        <c:minorTickMark val="none"/>
        <c:tickLblPos val="nextTo"/>
        <c:spPr>
          <a:noFill/>
          <a:ln w="9525" cap="flat" cmpd="sng" algn="ctr">
            <a:solidFill>
              <a:sysClr val="window" lastClr="FFFFFF">
                <a:lumMod val="95000"/>
              </a:sys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bg1">
                    <a:lumMod val="95000"/>
                  </a:schemeClr>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144083968"/>
        <c:crosses val="autoZero"/>
        <c:auto val="1"/>
        <c:lblAlgn val="ctr"/>
        <c:lblOffset val="100"/>
        <c:noMultiLvlLbl val="0"/>
      </c:catAx>
      <c:valAx>
        <c:axId val="144083968"/>
        <c:scaling>
          <c:orientation val="minMax"/>
        </c:scaling>
        <c:delete val="0"/>
        <c:axPos val="l"/>
        <c:majorGridlines>
          <c:spPr>
            <a:ln w="9525" cap="flat" cmpd="sng" algn="ctr">
              <a:noFill/>
              <a:prstDash val="dash"/>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9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1440512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chemeClr val="bg1"/>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1"/>
    <c:dispBlanksAs val="gap"/>
    <c:showDLblsOverMax val="0"/>
  </c:chart>
  <c:spPr>
    <a:blipFill rotWithShape="1">
      <a:blip xmlns:r="http://schemas.openxmlformats.org/officeDocument/2006/relationships" r:embed="rId4"/>
      <a:stretch>
        <a:fillRect/>
      </a:stretch>
    </a:blipFill>
    <a:ln w="12700" cap="flat" cmpd="sng" algn="ctr">
      <a:noFill/>
      <a:prstDash val="solid"/>
      <a:round/>
    </a:ln>
    <a:effectLst/>
  </c:spPr>
  <c:txPr>
    <a:bodyPr/>
    <a:lstStyle/>
    <a:p>
      <a:pPr>
        <a:defRPr lang="zh-CN">
          <a:solidFill>
            <a:srgbClr val="616161"/>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[工作簿2]Sheet1!$A$1:$A$3</c:f>
              <c:strCache>
                <c:ptCount val="3"/>
                <c:pt idx="0">
                  <c:v>事业收入</c:v>
                </c:pt>
                <c:pt idx="1">
                  <c:v>财政拨款收入</c:v>
                </c:pt>
                <c:pt idx="2">
                  <c:v>其他收入</c:v>
                </c:pt>
              </c:strCache>
            </c:strRef>
          </c:cat>
          <c:val>
            <c:numRef>
              <c:f>[工作簿2]Sheet1!$B$1:$B$3</c:f>
              <c:numCache>
                <c:formatCode>0.00%</c:formatCode>
                <c:ptCount val="3"/>
                <c:pt idx="0">
                  <c:v>0.6052</c:v>
                </c:pt>
                <c:pt idx="1">
                  <c:v>0.2327</c:v>
                </c:pt>
                <c:pt idx="2">
                  <c:v>0.162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[工作簿3]Sheet1!$A$1:$A$2</c:f>
              <c:strCache>
                <c:ptCount val="2"/>
                <c:pt idx="0">
                  <c:v>基本支出</c:v>
                </c:pt>
                <c:pt idx="1">
                  <c:v>项目支出</c:v>
                </c:pt>
              </c:strCache>
            </c:strRef>
          </c:cat>
          <c:val>
            <c:numRef>
              <c:f>[工作簿3]Sheet1!$B$1:$B$2</c:f>
              <c:numCache>
                <c:formatCode>0.00%</c:formatCode>
                <c:ptCount val="2"/>
                <c:pt idx="0">
                  <c:v>0.8791</c:v>
                </c:pt>
                <c:pt idx="1">
                  <c:v>0.1208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774166666666667"/>
          <c:y val="0.0277777777777778"/>
        </c:manualLayout>
      </c:layout>
      <c:overlay val="0"/>
      <c:spPr>
        <a:noFill/>
        <a:ln>
          <a:noFill/>
        </a:ln>
        <a:effectLst/>
      </c:spPr>
    </c:title>
    <c:autoTitleDeleted val="0"/>
    <c:plotArea>
      <c:layout/>
      <c:barChart>
        <c:barDir val="col"/>
        <c:grouping val="clustered"/>
        <c:varyColors val="0"/>
        <c:ser>
          <c:idx val="0"/>
          <c:order val="0"/>
          <c:tx>
            <c:strRef>
              <c:f>[工作簿4]Sheet1!$B$1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[工作簿4]Sheet1!$A$2:$A$3</c:f>
              <c:strCache>
                <c:ptCount val="2"/>
                <c:pt idx="0">
                  <c:v>财政拨款收入</c:v>
                </c:pt>
                <c:pt idx="1">
                  <c:v>财政拨款支出</c:v>
                </c:pt>
              </c:strCache>
            </c:strRef>
          </c:cat>
          <c:val>
            <c:numRef>
              <c:f>[工作簿4]Sheet1!$B$2:$B$3</c:f>
              <c:numCache>
                <c:formatCode>General</c:formatCode>
                <c:ptCount val="2"/>
                <c:pt idx="0">
                  <c:v>73.46</c:v>
                </c:pt>
                <c:pt idx="1">
                  <c:v>73.46</c:v>
                </c:pt>
              </c:numCache>
            </c:numRef>
          </c:val>
        </c:ser>
        <c:ser>
          <c:idx val="1"/>
          <c:order val="1"/>
          <c:tx>
            <c:strRef>
              <c:f>[工作簿4]Sheet1!$C$1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[工作簿4]Sheet1!$A$2:$A$3</c:f>
              <c:strCache>
                <c:ptCount val="2"/>
                <c:pt idx="0">
                  <c:v>财政拨款收入</c:v>
                </c:pt>
                <c:pt idx="1">
                  <c:v>财政拨款支出</c:v>
                </c:pt>
              </c:strCache>
            </c:strRef>
          </c:cat>
          <c:val>
            <c:numRef>
              <c:f>[工作簿4]Sheet1!$C$2:$C$3</c:f>
              <c:numCache>
                <c:formatCode>General</c:formatCode>
                <c:ptCount val="2"/>
                <c:pt idx="0">
                  <c:v>66.66</c:v>
                </c:pt>
                <c:pt idx="1">
                  <c:v>66.66</c:v>
                </c:pt>
              </c:numCache>
            </c:numRef>
          </c:val>
        </c:ser>
        <c:dLbls>
          <c:showLegendKey val="0"/>
          <c:showVal val="1"/>
          <c:showCatName val="0"/>
          <c:showSerName val="0"/>
          <c:showPercent val="0"/>
          <c:showBubbleSize val="0"/>
        </c:dLbls>
        <c:gapWidth val="219"/>
        <c:overlap val="-27"/>
        <c:axId val="197334144"/>
        <c:axId val="197393408"/>
      </c:barChart>
      <c:catAx>
        <c:axId val="197334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393408"/>
        <c:crosses val="autoZero"/>
        <c:auto val="1"/>
        <c:lblAlgn val="ctr"/>
        <c:lblOffset val="100"/>
        <c:noMultiLvlLbl val="0"/>
      </c:catAx>
      <c:valAx>
        <c:axId val="197393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334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单位：万元</a:t>
            </a:r>
          </a:p>
        </c:rich>
      </c:tx>
      <c:layout>
        <c:manualLayout>
          <c:xMode val="edge"/>
          <c:yMode val="edge"/>
          <c:x val="0.774166666666667"/>
          <c:y val="0.0277777777777778"/>
        </c:manualLayout>
      </c:layout>
      <c:overlay val="0"/>
      <c:spPr>
        <a:noFill/>
        <a:ln>
          <a:noFill/>
        </a:ln>
        <a:effectLst/>
      </c:spPr>
    </c:title>
    <c:autoTitleDeleted val="0"/>
    <c:plotArea>
      <c:layout>
        <c:manualLayout>
          <c:layoutTarget val="inner"/>
          <c:xMode val="edge"/>
          <c:yMode val="edge"/>
          <c:x val="0.124944444444444"/>
          <c:y val="0.176388888888889"/>
          <c:w val="0.81463888888889"/>
          <c:h val="0.606805555555557"/>
        </c:manualLayout>
      </c:layout>
      <c:barChart>
        <c:barDir val="col"/>
        <c:grouping val="clustered"/>
        <c:varyColors val="0"/>
        <c:ser>
          <c:idx val="0"/>
          <c:order val="0"/>
          <c:tx>
            <c:strRef>
              <c:f>[工作簿5]Sheet1!$A$2</c:f>
              <c:strCache>
                <c:ptCount val="1"/>
                <c:pt idx="0">
                  <c:v>一般公共预算财政拨款支出</c:v>
                </c:pt>
              </c:strCache>
            </c:strRef>
          </c:tx>
          <c:spPr>
            <a:solidFill>
              <a:srgbClr val="384C9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[工作簿5]Sheet1!$B$1:$C$1</c:f>
              <c:strCache>
                <c:ptCount val="2"/>
                <c:pt idx="0">
                  <c:v>2020年</c:v>
                </c:pt>
                <c:pt idx="1">
                  <c:v>2021年</c:v>
                </c:pt>
              </c:strCache>
            </c:strRef>
          </c:cat>
          <c:val>
            <c:numRef>
              <c:f>[工作簿5]Sheet1!$B$2:$C$2</c:f>
              <c:numCache>
                <c:formatCode>General</c:formatCode>
                <c:ptCount val="2"/>
                <c:pt idx="0">
                  <c:v>73.46</c:v>
                </c:pt>
                <c:pt idx="1">
                  <c:v>66.66</c:v>
                </c:pt>
              </c:numCache>
            </c:numRef>
          </c:val>
        </c:ser>
        <c:dLbls>
          <c:showLegendKey val="0"/>
          <c:showVal val="1"/>
          <c:showCatName val="0"/>
          <c:showSerName val="0"/>
          <c:showPercent val="0"/>
          <c:showBubbleSize val="0"/>
        </c:dLbls>
        <c:gapWidth val="219"/>
        <c:overlap val="-24"/>
        <c:axId val="162386688"/>
        <c:axId val="162388224"/>
      </c:barChart>
      <c:catAx>
        <c:axId val="16238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62388224"/>
        <c:crosses val="autoZero"/>
        <c:auto val="1"/>
        <c:lblAlgn val="ctr"/>
        <c:lblOffset val="100"/>
        <c:noMultiLvlLbl val="0"/>
      </c:catAx>
      <c:valAx>
        <c:axId val="162388224"/>
        <c:scaling>
          <c:orientation val="minMax"/>
        </c:scaling>
        <c:delete val="0"/>
        <c:axPos val="l"/>
        <c:majorGridlines>
          <c:spPr>
            <a:ln w="9525" cap="flat" cmpd="sng" algn="ctr">
              <a:solidFill>
                <a:schemeClr val="bg1">
                  <a:lumMod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62386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blipFill rotWithShape="1">
      <a:blip xmlns:r="http://schemas.openxmlformats.org/officeDocument/2006/relationships" r:embed="rId2"/>
      <a:stretch>
        <a:fillRect/>
      </a:stretch>
    </a:blipFill>
    <a:ln w="9525" cap="flat" cmpd="sng" algn="ctr">
      <a:no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[工作簿6]Sheet1!$A$1:$A$3</c:f>
              <c:strCache>
                <c:ptCount val="3"/>
                <c:pt idx="0">
                  <c:v>卫生健康支出</c:v>
                </c:pt>
                <c:pt idx="1">
                  <c:v>社会保障和就业支出</c:v>
                </c:pt>
                <c:pt idx="2">
                  <c:v>农林水支出</c:v>
                </c:pt>
              </c:strCache>
            </c:strRef>
          </c:cat>
          <c:val>
            <c:numRef>
              <c:f>[工作簿6]Sheet1!$B$1:$B$3</c:f>
              <c:numCache>
                <c:formatCode>0.00%</c:formatCode>
                <c:ptCount val="3"/>
                <c:pt idx="0">
                  <c:v>0.9774</c:v>
                </c:pt>
                <c:pt idx="1" c:formatCode="0%">
                  <c:v>0</c:v>
                </c:pt>
                <c:pt idx="2">
                  <c:v>0.0022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TotalTime>
  <Pages>21</Pages>
  <Words>1560</Words>
  <Characters>8894</Characters>
  <Application>Microsoft Office Word</Application>
  <DocSecurity>0</DocSecurity>
  <Lines>74</Lines>
  <Paragraphs>20</Paragraphs>
  <ScaleCrop>false</ScaleCrop>
  <Company>四川省财政厅</Company>
  <LinksUpToDate>false</LinksUpToDate>
  <CharactersWithSpaces>10434</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2022-08-06T02:23:00Z</cp:lastPrinted>
  <dcterms:created xsi:type="dcterms:W3CDTF">2020-08-05T01:49:00Z</dcterms:created>
  <dcterms:modified xsi:type="dcterms:W3CDTF">2023-02-24T08:32:00Z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9</TotalTime>
  <Pages>24</Pages>
  <Words>8419</Words>
  <Characters>9028</Characters>
  <Application>WPS Office_11.1.0.9208_F1E327BC-269C-435d-A152-05C5408002CA</Application>
  <DocSecurity>0</DocSecurity>
  <Lines>61</Lines>
  <Paragraphs>17</Paragraphs>
  <Company>四川省财政厅</Company>
  <CharactersWithSpaces>9161</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2022-11-01T09:28:06Z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24</Pages>
  <Words>8419</Words>
  <Characters>9028</Characters>
  <Lines>61</Lines>
  <Paragraphs>17</Paragraphs>
  <TotalTime>9</TotalTime>
  <ScaleCrop>false</ScaleCrop>
  <LinksUpToDate>false</LinksUpToDate>
  <CharactersWithSpaces>9161</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2022-11-01T09:28:06Z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2022-08-06T02:23:00Z</cp:lastPrinted>
  <dcterms:created xsi:type="dcterms:W3CDTF">2020-08-05T01:49:00Z</dcterms:created>
  <dcterms:modified xsi:type="dcterms:W3CDTF">2023-02-24T08:32:00Z</dcterms:modified>
</cp:coreProperties>
</file>

<file path=customXml/item4.xml><?xml version="1.0" encoding="utf-8"?>
<Properties xmlns:vt="http://schemas.openxmlformats.org/officeDocument/2006/docPropsVTypes" xmlns="http://schemas.openxmlformats.org/officeDocument/2006/extended-properties">
  <Template>Normal</Template>
  <TotalTime>15</TotalTime>
  <Pages>21</Pages>
  <Words>1560</Words>
  <Characters>8894</Characters>
  <Application>Microsoft Office Word</Application>
  <DocSecurity>0</DocSecurity>
  <Lines>74</Lines>
  <Paragraphs>20</Paragraphs>
  <Company>四川省财政厅</Company>
  <CharactersWithSpaces>10434</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D5FB3F128566444491A1AE7A9E4CEE24</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D5FB3F128566444491A1AE7A9E4CEE24</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D5FB3F128566444491A1AE7A9E4CEE24</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D5FB3F128566444491A1AE7A9E4CEE24</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8074-7462-44DD-9548-51B982404391}">
  <ds:schemaRefs/>
</ds:datastoreItem>
</file>

<file path=customXml/itemProps10.xml><?xml version="1.0" encoding="utf-8"?>
<ds:datastoreItem xmlns:ds="http://schemas.openxmlformats.org/officeDocument/2006/customXml" ds:itemID="{1C6913F0-1AD0-4B85-B99F-1E87F4B88574}">
  <ds:schemaRefs/>
</ds:datastoreItem>
</file>

<file path=customXml/itemProps11.xml><?xml version="1.0" encoding="utf-8"?>
<ds:datastoreItem xmlns:ds="http://schemas.openxmlformats.org/officeDocument/2006/customXml" ds:itemID="{6D42BBFE-4133-4FEE-8DA9-E2FCF28A332B}">
  <ds:schemaRefs/>
</ds:datastoreItem>
</file>

<file path=customXml/itemProps12.xml><?xml version="1.0" encoding="utf-8"?>
<ds:datastoreItem xmlns:ds="http://schemas.openxmlformats.org/officeDocument/2006/customXml" ds:itemID="{D28364C5-D679-46C7-AF8F-DF7399670486}">
  <ds:schemaRefs/>
</ds:datastoreItem>
</file>

<file path=customXml/itemProps13.xml><?xml version="1.0" encoding="utf-8"?>
<ds:datastoreItem xmlns:ds="http://schemas.openxmlformats.org/officeDocument/2006/customXml" ds:itemID="{0F2F7F31-A439-437C-AE30-D7D85DBA3AA8}">
  <ds:schemaRefs/>
</ds:datastoreItem>
</file>

<file path=customXml/itemProps2.xml><?xml version="1.0" encoding="utf-8"?>
<ds:datastoreItem xmlns:ds="http://schemas.openxmlformats.org/officeDocument/2006/customXml" ds:itemID="{F324EBB5-9834-4262-8743-3C3E81077F30}">
  <ds:schemaRefs/>
</ds:datastoreItem>
</file>

<file path=customXml/itemProps3.xml><?xml version="1.0" encoding="utf-8"?>
<ds:datastoreItem xmlns:ds="http://schemas.openxmlformats.org/officeDocument/2006/customXml" ds:itemID="{F206CAD4-5FDF-4BF0-87DD-A36BD824EFF4}">
  <ds:schemaRefs/>
</ds:datastoreItem>
</file>

<file path=customXml/itemProps4.xml><?xml version="1.0" encoding="utf-8"?>
<ds:datastoreItem xmlns:ds="http://schemas.openxmlformats.org/officeDocument/2006/customXml" ds:itemID="{09D144CA-B916-4043-8101-FDD7BBF01BE3}">
  <ds:schemaRefs/>
</ds:datastoreItem>
</file>

<file path=customXml/itemProps5.xml><?xml version="1.0" encoding="utf-8"?>
<ds:datastoreItem xmlns:ds="http://schemas.openxmlformats.org/officeDocument/2006/customXml" ds:itemID="{8312C920-1B66-4E88-92AF-714E16630070}">
  <ds:schemaRefs/>
</ds:datastoreItem>
</file>

<file path=customXml/itemProps6.xml><?xml version="1.0" encoding="utf-8"?>
<ds:datastoreItem xmlns:ds="http://schemas.openxmlformats.org/officeDocument/2006/customXml" ds:itemID="{05EB1B53-BEC8-4156-B0CC-96D63A49B0F7}">
  <ds:schemaRefs/>
</ds:datastoreItem>
</file>

<file path=customXml/itemProps7.xml><?xml version="1.0" encoding="utf-8"?>
<ds:datastoreItem xmlns:ds="http://schemas.openxmlformats.org/officeDocument/2006/customXml" ds:itemID="{5849CB24-66FB-4419-844C-42679E2E898A}">
  <ds:schemaRefs/>
</ds:datastoreItem>
</file>

<file path=customXml/itemProps8.xml><?xml version="1.0" encoding="utf-8"?>
<ds:datastoreItem xmlns:ds="http://schemas.openxmlformats.org/officeDocument/2006/customXml" ds:itemID="{22969338-4888-4A99-9178-38F370CD7D3A}">
  <ds:schemaRefs/>
</ds:datastoreItem>
</file>

<file path=customXml/itemProps9.xml><?xml version="1.0" encoding="utf-8"?>
<ds:datastoreItem xmlns:ds="http://schemas.openxmlformats.org/officeDocument/2006/customXml" ds:itemID="{D271DB14-CC77-4ED2-9878-8B954F65F1A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7769</Words>
  <Characters>8336</Characters>
  <Lines>73</Lines>
  <Paragraphs>20</Paragraphs>
  <TotalTime>16</TotalTime>
  <ScaleCrop>false</ScaleCrop>
  <LinksUpToDate>false</LinksUpToDate>
  <CharactersWithSpaces>8441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2023-06-26T22:55:11Z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D5FB3F128566444491A1AE7A9E4CEE24</vt:lpwstr>
  </property>
</Properties>
</file>