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78441"/>
      <w:bookmarkStart w:id="3" w:name="_Toc15396597"/>
      <w:bookmarkStart w:id="4" w:name="_Toc15377193"/>
      <w:bookmarkStart w:id="5" w:name="_Toc180"/>
      <w:bookmarkStart w:id="6" w:name="_Toc15396475"/>
      <w:bookmarkStart w:id="7" w:name="_Toc17836"/>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8" w:name="_Toc15396476"/>
      <w:bookmarkStart w:id="9" w:name="_Toc15377426"/>
      <w:bookmarkStart w:id="10" w:name="_Toc15396598"/>
      <w:bookmarkStart w:id="11" w:name="_Toc13084"/>
      <w:bookmarkStart w:id="12" w:name="_Toc15378442"/>
      <w:bookmarkStart w:id="13" w:name="_Toc14362"/>
      <w:bookmarkStart w:id="14" w:name="_Toc15377194"/>
      <w:r>
        <w:rPr>
          <w:rFonts w:hint="eastAsia" w:ascii="方正小标宋简体" w:hAnsi="方正小标宋简体" w:eastAsia="方正小标宋简体" w:cs="方正小标宋简体"/>
          <w:sz w:val="72"/>
          <w:szCs w:val="72"/>
        </w:rPr>
        <w:t>四川省</w:t>
      </w:r>
      <w:bookmarkEnd w:id="0"/>
      <w:bookmarkStart w:id="15" w:name="_Toc15306268"/>
      <w:r>
        <w:rPr>
          <w:rFonts w:hint="eastAsia" w:ascii="方正小标宋简体" w:hAnsi="方正小标宋简体" w:eastAsia="方正小标宋简体" w:cs="方正小标宋简体"/>
          <w:sz w:val="72"/>
          <w:szCs w:val="72"/>
        </w:rPr>
        <w:t>巴中市通江县铁溪中心卫生院单位决算</w:t>
      </w:r>
      <w:bookmarkEnd w:id="8"/>
      <w:bookmarkEnd w:id="9"/>
      <w:bookmarkEnd w:id="10"/>
      <w:bookmarkEnd w:id="11"/>
      <w:bookmarkEnd w:id="12"/>
      <w:bookmarkEnd w:id="13"/>
      <w:bookmarkEnd w:id="14"/>
      <w:bookmarkEnd w:id="15"/>
    </w:p>
    <w:p>
      <w:pPr>
        <w:jc w:val="center"/>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sdt>
      <w:sdtPr>
        <w:rPr>
          <w:rFonts w:ascii="宋体" w:hAnsi="宋体"/>
          <w:b/>
          <w:bCs/>
        </w:rPr>
        <w:id w:val="147468584"/>
        <w:docPartObj>
          <w:docPartGallery w:val="Table of Contents"/>
          <w:docPartUnique/>
        </w:docPartObj>
      </w:sdtPr>
      <w:sdtEndPr>
        <w:rPr>
          <w:rFonts w:hint="eastAsia" w:ascii="黑体" w:hAnsi="黑体" w:eastAsia="黑体"/>
          <w:b/>
          <w:bCs/>
          <w:kern w:val="44"/>
          <w:sz w:val="44"/>
          <w:szCs w:val="44"/>
        </w:rPr>
      </w:sdtEndPr>
      <w:sdtContent>
        <w:p>
          <w:pPr>
            <w:jc w:val="center"/>
            <w:rPr>
              <w:rFonts w:ascii="黑体" w:hAnsi="黑体" w:eastAsia="黑体" w:cs="黑体"/>
              <w:sz w:val="44"/>
              <w:szCs w:val="44"/>
            </w:rPr>
          </w:pPr>
          <w:bookmarkStart w:id="16" w:name="_Toc3183"/>
          <w:r>
            <w:rPr>
              <w:rFonts w:hint="eastAsia" w:ascii="黑体" w:hAnsi="黑体" w:eastAsia="黑体" w:cs="黑体"/>
              <w:sz w:val="44"/>
              <w:szCs w:val="44"/>
            </w:rPr>
            <w:t>目录</w:t>
          </w:r>
        </w:p>
        <w:p>
          <w:pPr>
            <w:pStyle w:val="33"/>
            <w:tabs>
              <w:tab w:val="right" w:leader="dot" w:pos="8306"/>
            </w:tabs>
            <w:jc w:val="center"/>
            <w:rPr>
              <w:b/>
            </w:rPr>
          </w:pPr>
          <w:r>
            <w:rPr>
              <w:rFonts w:hint="eastAsia" w:ascii="黑体" w:hAnsi="黑体" w:eastAsia="黑体"/>
            </w:rPr>
            <w:t>公开时间：2022年8月25日</w:t>
          </w:r>
          <w:r>
            <w:fldChar w:fldCharType="begin"/>
          </w:r>
          <w:r>
            <w:instrText xml:space="preserve">TOC \o "1-2" \h \u</w:instrText>
          </w:r>
          <w:r>
            <w:rPr>
              <w:rFonts w:hint="eastAsia" w:ascii="黑体" w:hAnsi="黑体" w:eastAsia="黑体"/>
            </w:rPr>
            <w:fldChar w:fldCharType="separate"/>
          </w:r>
        </w:p>
        <w:p>
          <w:pPr>
            <w:pStyle w:val="33"/>
            <w:tabs>
              <w:tab w:val="right" w:leader="dot" w:pos="8306"/>
            </w:tabs>
            <w:rPr>
              <w:rFonts w:ascii="黑体" w:hAnsi="黑体" w:eastAsia="黑体"/>
              <w:b/>
            </w:rPr>
          </w:pPr>
        </w:p>
        <w:p>
          <w:pPr>
            <w:pStyle w:val="33"/>
            <w:tabs>
              <w:tab w:val="right" w:leader="dot" w:pos="8306"/>
            </w:tabs>
            <w:rPr>
              <w:b/>
            </w:rPr>
          </w:pPr>
          <w:r>
            <w:fldChar w:fldCharType="begin"/>
          </w:r>
          <w:r>
            <w:instrText xml:space="preserve"> HYPERLINK \l "_Toc19192" </w:instrText>
          </w:r>
          <w:r>
            <w:fldChar w:fldCharType="separate"/>
          </w:r>
          <w:r>
            <w:rPr>
              <w:rFonts w:hint="eastAsia" w:ascii="黑体" w:hAnsi="黑体" w:eastAsia="黑体"/>
              <w:b/>
            </w:rPr>
            <w:t>第一部分单位概况</w:t>
          </w:r>
          <w:r>
            <w:rPr>
              <w:b/>
            </w:rPr>
            <w:tab/>
          </w:r>
          <w:r>
            <w:rPr>
              <w:b/>
            </w:rPr>
            <w:fldChar w:fldCharType="begin"/>
          </w:r>
          <w:r>
            <w:rPr>
              <w:b/>
            </w:rPr>
            <w:instrText xml:space="preserve"> PAGEREF _Toc19192 </w:instrText>
          </w:r>
          <w:r>
            <w:rPr>
              <w:b/>
            </w:rPr>
            <w:fldChar w:fldCharType="separate"/>
          </w:r>
          <w:r>
            <w:rPr>
              <w:b/>
            </w:rPr>
            <w:t>1</w:t>
          </w:r>
          <w:r>
            <w:rPr>
              <w:b/>
            </w:rPr>
            <w:fldChar w:fldCharType="end"/>
          </w:r>
          <w:r>
            <w:rPr>
              <w:b/>
            </w:rPr>
            <w:fldChar w:fldCharType="end"/>
          </w:r>
        </w:p>
        <w:p>
          <w:pPr>
            <w:pStyle w:val="34"/>
            <w:tabs>
              <w:tab w:val="right" w:leader="dot" w:pos="8306"/>
            </w:tabs>
            <w:ind w:left="420"/>
          </w:pPr>
          <w:r>
            <w:fldChar w:fldCharType="begin"/>
          </w:r>
          <w:r>
            <w:instrText xml:space="preserve"> HYPERLINK \l "_Toc3227" </w:instrText>
          </w:r>
          <w:r>
            <w:fldChar w:fldCharType="separate"/>
          </w:r>
          <w:r>
            <w:rPr>
              <w:rFonts w:hint="eastAsia" w:ascii="黑体" w:hAnsi="黑体" w:eastAsia="黑体"/>
            </w:rPr>
            <w:t>一、职能简介</w:t>
          </w:r>
          <w:r>
            <w:tab/>
          </w:r>
          <w:r>
            <w:fldChar w:fldCharType="begin"/>
          </w:r>
          <w:r>
            <w:instrText xml:space="preserve"> PAGEREF _Toc3227 </w:instrText>
          </w:r>
          <w:r>
            <w:fldChar w:fldCharType="separate"/>
          </w:r>
          <w:r>
            <w:t>1</w:t>
          </w:r>
          <w:r>
            <w:fldChar w:fldCharType="end"/>
          </w:r>
          <w:r>
            <w:fldChar w:fldCharType="end"/>
          </w:r>
        </w:p>
        <w:p>
          <w:pPr>
            <w:pStyle w:val="34"/>
            <w:tabs>
              <w:tab w:val="right" w:leader="dot" w:pos="8306"/>
            </w:tabs>
            <w:ind w:left="420"/>
          </w:pPr>
          <w:r>
            <w:fldChar w:fldCharType="begin"/>
          </w:r>
          <w:r>
            <w:instrText xml:space="preserve"> HYPERLINK \l "_Toc10428" </w:instrText>
          </w:r>
          <w:r>
            <w:fldChar w:fldCharType="separate"/>
          </w:r>
          <w:r>
            <w:rPr>
              <w:rFonts w:hint="eastAsia" w:ascii="黑体" w:hAnsi="黑体" w:eastAsia="黑体"/>
            </w:rPr>
            <w:t>二、2021年重点工作完成情况</w:t>
          </w:r>
          <w:r>
            <w:tab/>
          </w:r>
          <w:r>
            <w:fldChar w:fldCharType="begin"/>
          </w:r>
          <w:r>
            <w:instrText xml:space="preserve"> PAGEREF _Toc10428 </w:instrText>
          </w:r>
          <w:r>
            <w:fldChar w:fldCharType="separate"/>
          </w:r>
          <w:r>
            <w:t>1</w:t>
          </w:r>
          <w:r>
            <w:fldChar w:fldCharType="end"/>
          </w:r>
          <w:r>
            <w:fldChar w:fldCharType="end"/>
          </w:r>
        </w:p>
        <w:p>
          <w:pPr>
            <w:pStyle w:val="33"/>
            <w:tabs>
              <w:tab w:val="right" w:leader="dot" w:pos="8306"/>
            </w:tabs>
            <w:rPr>
              <w:b/>
            </w:rPr>
          </w:pPr>
          <w:r>
            <w:fldChar w:fldCharType="begin"/>
          </w:r>
          <w:r>
            <w:instrText xml:space="preserve"> HYPERLINK \l "_Toc24290" </w:instrText>
          </w:r>
          <w:r>
            <w:fldChar w:fldCharType="separate"/>
          </w:r>
          <w:r>
            <w:rPr>
              <w:rFonts w:hint="eastAsia" w:ascii="黑体" w:hAnsi="黑体" w:eastAsia="黑体"/>
              <w:b/>
              <w:bCs/>
              <w:szCs w:val="44"/>
            </w:rPr>
            <w:t>第二部分2021年度</w:t>
          </w:r>
          <w:r>
            <w:rPr>
              <w:rFonts w:hint="eastAsia" w:ascii="黑体" w:hAnsi="黑体" w:eastAsia="黑体"/>
              <w:b/>
              <w:bCs/>
            </w:rPr>
            <w:t>单位决算情况说明</w:t>
          </w:r>
          <w:r>
            <w:rPr>
              <w:b/>
            </w:rPr>
            <w:tab/>
          </w:r>
          <w:r>
            <w:rPr>
              <w:b/>
            </w:rPr>
            <w:fldChar w:fldCharType="begin"/>
          </w:r>
          <w:r>
            <w:rPr>
              <w:b/>
            </w:rPr>
            <w:instrText xml:space="preserve"> PAGEREF _Toc24290 </w:instrText>
          </w:r>
          <w:r>
            <w:rPr>
              <w:b/>
            </w:rPr>
            <w:fldChar w:fldCharType="separate"/>
          </w:r>
          <w:r>
            <w:rPr>
              <w:b/>
            </w:rPr>
            <w:t>4</w:t>
          </w:r>
          <w:r>
            <w:rPr>
              <w:b/>
            </w:rPr>
            <w:fldChar w:fldCharType="end"/>
          </w:r>
          <w:r>
            <w:rPr>
              <w:b/>
            </w:rPr>
            <w:fldChar w:fldCharType="end"/>
          </w:r>
        </w:p>
        <w:p>
          <w:pPr>
            <w:pStyle w:val="34"/>
            <w:tabs>
              <w:tab w:val="right" w:leader="dot" w:pos="8306"/>
            </w:tabs>
            <w:ind w:left="420"/>
          </w:pPr>
          <w:r>
            <w:fldChar w:fldCharType="begin"/>
          </w:r>
          <w:r>
            <w:instrText xml:space="preserve"> HYPERLINK \l "_Toc23225"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_Toc23225 </w:instrText>
          </w:r>
          <w:r>
            <w:fldChar w:fldCharType="separate"/>
          </w:r>
          <w:r>
            <w:t>4</w:t>
          </w:r>
          <w:r>
            <w:fldChar w:fldCharType="end"/>
          </w:r>
          <w:r>
            <w:fldChar w:fldCharType="end"/>
          </w:r>
        </w:p>
        <w:p>
          <w:pPr>
            <w:pStyle w:val="34"/>
            <w:tabs>
              <w:tab w:val="right" w:leader="dot" w:pos="8306"/>
            </w:tabs>
            <w:ind w:left="420"/>
          </w:pPr>
          <w:r>
            <w:fldChar w:fldCharType="begin"/>
          </w:r>
          <w:r>
            <w:instrText xml:space="preserve"> HYPERLINK \l "_Toc22378"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_Toc22378 </w:instrText>
          </w:r>
          <w:r>
            <w:fldChar w:fldCharType="separate"/>
          </w:r>
          <w:r>
            <w:t>4</w:t>
          </w:r>
          <w:r>
            <w:fldChar w:fldCharType="end"/>
          </w:r>
          <w:r>
            <w:fldChar w:fldCharType="end"/>
          </w:r>
        </w:p>
        <w:p>
          <w:pPr>
            <w:pStyle w:val="34"/>
            <w:tabs>
              <w:tab w:val="right" w:leader="dot" w:pos="8306"/>
            </w:tabs>
            <w:ind w:left="420"/>
          </w:pPr>
          <w:r>
            <w:fldChar w:fldCharType="begin"/>
          </w:r>
          <w:r>
            <w:instrText xml:space="preserve"> HYPERLINK \l "_Toc41"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_Toc41 </w:instrText>
          </w:r>
          <w:r>
            <w:fldChar w:fldCharType="separate"/>
          </w:r>
          <w:r>
            <w:t>5</w:t>
          </w:r>
          <w:r>
            <w:fldChar w:fldCharType="end"/>
          </w:r>
          <w:r>
            <w:fldChar w:fldCharType="end"/>
          </w:r>
        </w:p>
        <w:p>
          <w:pPr>
            <w:pStyle w:val="34"/>
            <w:tabs>
              <w:tab w:val="right" w:leader="dot" w:pos="8306"/>
            </w:tabs>
            <w:ind w:left="420"/>
          </w:pPr>
          <w:r>
            <w:fldChar w:fldCharType="begin"/>
          </w:r>
          <w:r>
            <w:instrText xml:space="preserve"> HYPERLINK \l "_Toc30051"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_Toc30051 </w:instrText>
          </w:r>
          <w:r>
            <w:fldChar w:fldCharType="separate"/>
          </w:r>
          <w:r>
            <w:t>5</w:t>
          </w:r>
          <w:r>
            <w:fldChar w:fldCharType="end"/>
          </w:r>
          <w:r>
            <w:fldChar w:fldCharType="end"/>
          </w:r>
        </w:p>
        <w:p>
          <w:pPr>
            <w:pStyle w:val="34"/>
            <w:tabs>
              <w:tab w:val="right" w:leader="dot" w:pos="8306"/>
            </w:tabs>
            <w:ind w:left="420"/>
          </w:pPr>
          <w:r>
            <w:fldChar w:fldCharType="begin"/>
          </w:r>
          <w:r>
            <w:instrText xml:space="preserve"> HYPERLINK \l "_Toc25664"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_Toc25664 </w:instrText>
          </w:r>
          <w:r>
            <w:fldChar w:fldCharType="separate"/>
          </w:r>
          <w:r>
            <w:t>6</w:t>
          </w:r>
          <w:r>
            <w:fldChar w:fldCharType="end"/>
          </w:r>
          <w:r>
            <w:fldChar w:fldCharType="end"/>
          </w:r>
        </w:p>
        <w:p>
          <w:pPr>
            <w:pStyle w:val="34"/>
            <w:tabs>
              <w:tab w:val="right" w:leader="dot" w:pos="8306"/>
            </w:tabs>
            <w:ind w:left="420"/>
          </w:pPr>
          <w:r>
            <w:fldChar w:fldCharType="begin"/>
          </w:r>
          <w:r>
            <w:instrText xml:space="preserve"> HYPERLINK \l "_Toc1342"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_Toc1342 </w:instrText>
          </w:r>
          <w:r>
            <w:fldChar w:fldCharType="separate"/>
          </w:r>
          <w:r>
            <w:t>8</w:t>
          </w:r>
          <w:r>
            <w:fldChar w:fldCharType="end"/>
          </w:r>
          <w:r>
            <w:fldChar w:fldCharType="end"/>
          </w:r>
        </w:p>
        <w:p>
          <w:pPr>
            <w:pStyle w:val="34"/>
            <w:tabs>
              <w:tab w:val="right" w:leader="dot" w:pos="8306"/>
            </w:tabs>
            <w:ind w:left="420"/>
          </w:pPr>
          <w:r>
            <w:fldChar w:fldCharType="begin"/>
          </w:r>
          <w:r>
            <w:instrText xml:space="preserve"> HYPERLINK \l "_Toc7596"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_Toc7596 </w:instrText>
          </w:r>
          <w:r>
            <w:fldChar w:fldCharType="separate"/>
          </w:r>
          <w:r>
            <w:t>8</w:t>
          </w:r>
          <w:r>
            <w:fldChar w:fldCharType="end"/>
          </w:r>
          <w:r>
            <w:fldChar w:fldCharType="end"/>
          </w:r>
        </w:p>
        <w:p>
          <w:pPr>
            <w:pStyle w:val="34"/>
            <w:tabs>
              <w:tab w:val="right" w:leader="dot" w:pos="8306"/>
            </w:tabs>
            <w:ind w:left="420"/>
          </w:pPr>
          <w:r>
            <w:fldChar w:fldCharType="begin"/>
          </w:r>
          <w:r>
            <w:instrText xml:space="preserve"> HYPERLINK \l "_Toc1797"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_Toc1797 </w:instrText>
          </w:r>
          <w:r>
            <w:fldChar w:fldCharType="separate"/>
          </w:r>
          <w:r>
            <w:t>9</w:t>
          </w:r>
          <w:r>
            <w:fldChar w:fldCharType="end"/>
          </w:r>
          <w:r>
            <w:fldChar w:fldCharType="end"/>
          </w:r>
        </w:p>
        <w:p>
          <w:pPr>
            <w:pStyle w:val="34"/>
            <w:tabs>
              <w:tab w:val="right" w:leader="dot" w:pos="8306"/>
            </w:tabs>
            <w:ind w:left="420"/>
          </w:pPr>
          <w:r>
            <w:fldChar w:fldCharType="begin"/>
          </w:r>
          <w:r>
            <w:instrText xml:space="preserve"> HYPERLINK \l "_Toc14465" </w:instrText>
          </w:r>
          <w:r>
            <w:fldChar w:fldCharType="separate"/>
          </w:r>
          <w:r>
            <w:rPr>
              <w:rFonts w:hint="eastAsia" w:ascii="黑体" w:hAnsi="黑体" w:eastAsia="黑体"/>
            </w:rPr>
            <w:t>九、国有资本经营预算支出决算情况说明</w:t>
          </w:r>
          <w:r>
            <w:tab/>
          </w:r>
          <w:r>
            <w:fldChar w:fldCharType="begin"/>
          </w:r>
          <w:r>
            <w:instrText xml:space="preserve"> PAGEREF _Toc14465 </w:instrText>
          </w:r>
          <w:r>
            <w:fldChar w:fldCharType="separate"/>
          </w:r>
          <w:r>
            <w:t>9</w:t>
          </w:r>
          <w:r>
            <w:fldChar w:fldCharType="end"/>
          </w:r>
          <w:r>
            <w:fldChar w:fldCharType="end"/>
          </w:r>
        </w:p>
        <w:p>
          <w:pPr>
            <w:pStyle w:val="34"/>
            <w:tabs>
              <w:tab w:val="right" w:leader="dot" w:pos="8306"/>
            </w:tabs>
            <w:ind w:left="420"/>
          </w:pPr>
          <w:r>
            <w:fldChar w:fldCharType="begin"/>
          </w:r>
          <w:r>
            <w:instrText xml:space="preserve"> HYPERLINK \l "_Toc2854" </w:instrText>
          </w:r>
          <w:r>
            <w:fldChar w:fldCharType="separate"/>
          </w:r>
          <w:r>
            <w:rPr>
              <w:rFonts w:hint="eastAsia" w:ascii="黑体" w:hAnsi="黑体" w:eastAsia="黑体"/>
            </w:rPr>
            <w:t>十、其他重要事项的情况说明</w:t>
          </w:r>
          <w:r>
            <w:tab/>
          </w:r>
          <w:r>
            <w:fldChar w:fldCharType="begin"/>
          </w:r>
          <w:r>
            <w:instrText xml:space="preserve"> PAGEREF _Toc2854 </w:instrText>
          </w:r>
          <w:r>
            <w:fldChar w:fldCharType="separate"/>
          </w:r>
          <w:r>
            <w:t>9</w:t>
          </w:r>
          <w:r>
            <w:fldChar w:fldCharType="end"/>
          </w:r>
          <w:r>
            <w:fldChar w:fldCharType="end"/>
          </w:r>
        </w:p>
        <w:p>
          <w:pPr>
            <w:pStyle w:val="33"/>
            <w:tabs>
              <w:tab w:val="right" w:leader="dot" w:pos="8306"/>
            </w:tabs>
            <w:rPr>
              <w:b/>
            </w:rPr>
          </w:pPr>
          <w:r>
            <w:fldChar w:fldCharType="begin"/>
          </w:r>
          <w:r>
            <w:instrText xml:space="preserve"> HYPERLINK \l "_Toc3808" </w:instrText>
          </w:r>
          <w:r>
            <w:fldChar w:fldCharType="separate"/>
          </w:r>
          <w:r>
            <w:rPr>
              <w:rFonts w:hint="eastAsia" w:ascii="黑体" w:hAnsi="黑体" w:eastAsia="黑体" w:cs="黑体"/>
              <w:b/>
              <w:szCs w:val="44"/>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_Toc3808 </w:instrText>
          </w:r>
          <w:r>
            <w:rPr>
              <w:b/>
            </w:rPr>
            <w:fldChar w:fldCharType="separate"/>
          </w:r>
          <w:r>
            <w:rPr>
              <w:b/>
            </w:rPr>
            <w:t>12</w:t>
          </w:r>
          <w:r>
            <w:rPr>
              <w:b/>
            </w:rPr>
            <w:fldChar w:fldCharType="end"/>
          </w:r>
          <w:r>
            <w:rPr>
              <w:b/>
            </w:rPr>
            <w:fldChar w:fldCharType="end"/>
          </w:r>
        </w:p>
        <w:p>
          <w:pPr>
            <w:pStyle w:val="33"/>
            <w:tabs>
              <w:tab w:val="right" w:leader="dot" w:pos="8306"/>
            </w:tabs>
            <w:rPr>
              <w:b/>
            </w:rPr>
          </w:pPr>
          <w:r>
            <w:fldChar w:fldCharType="begin"/>
          </w:r>
          <w:r>
            <w:instrText xml:space="preserve"> HYPERLINK \l "_Toc15025" </w:instrText>
          </w:r>
          <w:r>
            <w:fldChar w:fldCharType="separate"/>
          </w:r>
          <w:r>
            <w:rPr>
              <w:rFonts w:hint="eastAsia" w:ascii="黑体" w:hAnsi="黑体" w:eastAsia="黑体" w:cs="黑体"/>
              <w:b/>
              <w:szCs w:val="44"/>
            </w:rPr>
            <w:t xml:space="preserve">第四部分 </w:t>
          </w:r>
          <w:r>
            <w:rPr>
              <w:rFonts w:hint="eastAsia" w:ascii="黑体" w:hAnsi="黑体" w:eastAsia="黑体"/>
              <w:b/>
            </w:rPr>
            <w:t>附件</w:t>
          </w:r>
          <w:r>
            <w:rPr>
              <w:b/>
            </w:rPr>
            <w:tab/>
          </w:r>
          <w:r>
            <w:rPr>
              <w:b/>
            </w:rPr>
            <w:fldChar w:fldCharType="begin"/>
          </w:r>
          <w:r>
            <w:rPr>
              <w:b/>
            </w:rPr>
            <w:instrText xml:space="preserve"> PAGEREF _Toc15025 </w:instrText>
          </w:r>
          <w:r>
            <w:rPr>
              <w:b/>
            </w:rPr>
            <w:fldChar w:fldCharType="separate"/>
          </w:r>
          <w:r>
            <w:rPr>
              <w:b/>
            </w:rPr>
            <w:t>17</w:t>
          </w:r>
          <w:r>
            <w:rPr>
              <w:b/>
            </w:rPr>
            <w:fldChar w:fldCharType="end"/>
          </w:r>
          <w:r>
            <w:rPr>
              <w:b/>
            </w:rPr>
            <w:fldChar w:fldCharType="end"/>
          </w:r>
        </w:p>
        <w:p>
          <w:pPr>
            <w:pStyle w:val="33"/>
            <w:tabs>
              <w:tab w:val="right" w:leader="dot" w:pos="8306"/>
            </w:tabs>
            <w:rPr>
              <w:b/>
            </w:rPr>
          </w:pPr>
          <w:r>
            <w:fldChar w:fldCharType="begin"/>
          </w:r>
          <w:r>
            <w:instrText xml:space="preserve"> HYPERLINK \l "_Toc17803"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_Toc17803 </w:instrText>
          </w:r>
          <w:r>
            <w:rPr>
              <w:b/>
            </w:rPr>
            <w:fldChar w:fldCharType="separate"/>
          </w:r>
          <w:r>
            <w:rPr>
              <w:b/>
            </w:rPr>
            <w:t>18</w:t>
          </w:r>
          <w:r>
            <w:rPr>
              <w:b/>
            </w:rPr>
            <w:fldChar w:fldCharType="end"/>
          </w:r>
          <w:r>
            <w:rPr>
              <w:b/>
            </w:rPr>
            <w:fldChar w:fldCharType="end"/>
          </w:r>
        </w:p>
        <w:p>
          <w:pPr>
            <w:pStyle w:val="34"/>
            <w:tabs>
              <w:tab w:val="right" w:leader="dot" w:pos="8306"/>
            </w:tabs>
            <w:ind w:left="420"/>
          </w:pPr>
          <w:r>
            <w:fldChar w:fldCharType="begin"/>
          </w:r>
          <w:r>
            <w:instrText xml:space="preserve"> HYPERLINK \l "_Toc18508" </w:instrText>
          </w:r>
          <w:r>
            <w:fldChar w:fldCharType="separate"/>
          </w:r>
          <w:r>
            <w:rPr>
              <w:rFonts w:hint="eastAsia" w:ascii="仿宋" w:hAnsi="仿宋" w:eastAsia="仿宋"/>
            </w:rPr>
            <w:t>一、收入支出决算总表</w:t>
          </w:r>
          <w:r>
            <w:tab/>
          </w:r>
          <w:r>
            <w:fldChar w:fldCharType="begin"/>
          </w:r>
          <w:r>
            <w:instrText xml:space="preserve"> PAGEREF _Toc18508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"_Toc19066" </w:instrText>
          </w:r>
          <w:r>
            <w:fldChar w:fldCharType="separate"/>
          </w:r>
          <w:r>
            <w:rPr>
              <w:rFonts w:hint="eastAsia" w:ascii="仿宋" w:hAnsi="仿宋" w:eastAsia="仿宋"/>
            </w:rPr>
            <w:t>二、收入决算表</w:t>
          </w:r>
          <w:r>
            <w:tab/>
          </w:r>
          <w:r>
            <w:fldChar w:fldCharType="begin"/>
          </w:r>
          <w:r>
            <w:instrText xml:space="preserve"> PAGEREF _Toc19066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"_Toc21073" </w:instrText>
          </w:r>
          <w:r>
            <w:fldChar w:fldCharType="separate"/>
          </w:r>
          <w:r>
            <w:rPr>
              <w:rFonts w:hint="eastAsia" w:ascii="仿宋" w:hAnsi="仿宋" w:eastAsia="仿宋"/>
            </w:rPr>
            <w:t>三、支出决算表</w:t>
          </w:r>
          <w:r>
            <w:tab/>
          </w:r>
          <w:r>
            <w:fldChar w:fldCharType="begin"/>
          </w:r>
          <w:r>
            <w:instrText xml:space="preserve"> PAGEREF _Toc21073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"_Toc18072" </w:instrText>
          </w:r>
          <w:r>
            <w:fldChar w:fldCharType="separate"/>
          </w:r>
          <w:r>
            <w:rPr>
              <w:rFonts w:hint="eastAsia" w:ascii="仿宋" w:hAnsi="仿宋" w:eastAsia="仿宋"/>
            </w:rPr>
            <w:t>四、财政拨款收入支出决算总表</w:t>
          </w:r>
          <w:r>
            <w:tab/>
          </w:r>
          <w:r>
            <w:fldChar w:fldCharType="begin"/>
          </w:r>
          <w:r>
            <w:instrText xml:space="preserve"> PAGEREF _Toc18072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"_Toc24974" </w:instrText>
          </w:r>
          <w:r>
            <w:fldChar w:fldCharType="separate"/>
          </w:r>
          <w:r>
            <w:rPr>
              <w:rFonts w:hint="eastAsia" w:ascii="仿宋" w:hAnsi="仿宋" w:eastAsia="仿宋"/>
            </w:rPr>
            <w:t>五、财政拨款支出决算明细表</w:t>
          </w:r>
          <w:r>
            <w:tab/>
          </w:r>
          <w:r>
            <w:fldChar w:fldCharType="begin"/>
          </w:r>
          <w:r>
            <w:instrText xml:space="preserve"> PAGEREF _Toc24974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"_Toc6081" </w:instrText>
          </w:r>
          <w:r>
            <w:fldChar w:fldCharType="separate"/>
          </w:r>
          <w:r>
            <w:rPr>
              <w:rFonts w:hint="eastAsia" w:ascii="仿宋" w:hAnsi="仿宋" w:eastAsia="仿宋"/>
            </w:rPr>
            <w:t>六、一般公共预算财政拨款支出决算表</w:t>
          </w:r>
          <w:r>
            <w:tab/>
          </w:r>
          <w:r>
            <w:fldChar w:fldCharType="begin"/>
          </w:r>
          <w:r>
            <w:instrText xml:space="preserve"> PAGEREF _Toc6081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"_Toc21655" </w:instrText>
          </w:r>
          <w:r>
            <w:fldChar w:fldCharType="separate"/>
          </w:r>
          <w:r>
            <w:rPr>
              <w:rFonts w:hint="eastAsia" w:ascii="仿宋" w:hAnsi="仿宋" w:eastAsia="仿宋"/>
            </w:rPr>
            <w:t>七、一般公共预算财政拨款支出决算明细表</w:t>
          </w:r>
          <w:r>
            <w:tab/>
          </w:r>
          <w:r>
            <w:fldChar w:fldCharType="begin"/>
          </w:r>
          <w:r>
            <w:instrText xml:space="preserve"> PAGEREF _Toc21655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"_Toc25014" </w:instrText>
          </w:r>
          <w:r>
            <w:fldChar w:fldCharType="separate"/>
          </w:r>
          <w:r>
            <w:rPr>
              <w:rFonts w:hint="eastAsia" w:ascii="仿宋" w:hAnsi="仿宋" w:eastAsia="仿宋"/>
            </w:rPr>
            <w:t>八、一般公共预算财政拨款基本支出决算表</w:t>
          </w:r>
          <w:r>
            <w:tab/>
          </w:r>
          <w:r>
            <w:fldChar w:fldCharType="begin"/>
          </w:r>
          <w:r>
            <w:instrText xml:space="preserve"> PAGEREF _Toc25014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"_Toc2471" </w:instrText>
          </w:r>
          <w:r>
            <w:fldChar w:fldCharType="separate"/>
          </w:r>
          <w:r>
            <w:rPr>
              <w:rFonts w:hint="eastAsia" w:ascii="仿宋" w:hAnsi="仿宋" w:eastAsia="仿宋"/>
            </w:rPr>
            <w:t>九、一般公共预算财政拨款项目支出决算表</w:t>
          </w:r>
          <w:r>
            <w:tab/>
          </w:r>
          <w:r>
            <w:fldChar w:fldCharType="begin"/>
          </w:r>
          <w:r>
            <w:instrText xml:space="preserve"> PAGEREF _Toc2471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"_Toc5467"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_Toc5467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"_Toc21337"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_Toc21337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"_Toc29440"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_Toc29440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"_Toc20570" </w:instrText>
          </w:r>
          <w:r>
            <w:fldChar w:fldCharType="separate"/>
          </w:r>
          <w:r>
            <w:rPr>
              <w:rFonts w:hint="eastAsia" w:ascii="仿宋" w:hAnsi="仿宋" w:eastAsia="仿宋"/>
            </w:rPr>
            <w:t>十三、国有资本经营预算财政拨款收入支出决算表</w:t>
          </w:r>
          <w:r>
            <w:tab/>
          </w:r>
          <w:r>
            <w:fldChar w:fldCharType="begin"/>
          </w:r>
          <w:r>
            <w:instrText xml:space="preserve"> PAGEREF _Toc20570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"_Toc26576"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_Toc26576 </w:instrText>
          </w:r>
          <w:r>
            <w:fldChar w:fldCharType="separate"/>
          </w:r>
          <w:r>
            <w:t>19</w:t>
          </w:r>
          <w:r>
            <w:fldChar w:fldCharType="end"/>
          </w:r>
          <w:r>
            <w:fldChar w:fldCharType="end"/>
          </w:r>
        </w:p>
        <w:p>
          <w:pPr>
            <w:pStyle w:val="11"/>
            <w:jc w:val="center"/>
            <w:outlineLvl w:val="9"/>
            <w:rPr>
              <w:rFonts w:ascii="黑体" w:hAnsi="黑体" w:eastAsia="黑体"/>
              <w:b w:val="0"/>
            </w:rPr>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pPr>
          <w:r>
            <w:rPr>
              <w:rFonts w:hint="eastAsia" w:ascii="黑体" w:hAnsi="黑体" w:eastAsia="黑体"/>
            </w:rPr>
            <w:fldChar w:fldCharType="end"/>
          </w:r>
        </w:p>
      </w:sdtContent>
    </w:sdt>
    <w:p>
      <w:pPr>
        <w:pStyle w:val="11"/>
        <w:jc w:val="center"/>
        <w:rPr>
          <w:rStyle w:val="27"/>
          <w:rFonts w:ascii="黑体" w:hAnsi="黑体" w:eastAsia="黑体"/>
          <w:b/>
          <w:bCs w:val="0"/>
        </w:rPr>
      </w:pPr>
      <w:bookmarkStart w:id="17" w:name="_Toc19192"/>
      <w:r>
        <w:rPr>
          <w:rFonts w:hint="eastAsia" w:ascii="黑体" w:hAnsi="黑体" w:eastAsia="黑体"/>
          <w:b w:val="0"/>
        </w:rPr>
        <w:t>第一部分单位</w:t>
      </w:r>
      <w:r>
        <w:rPr>
          <w:rStyle w:val="27"/>
          <w:rFonts w:hint="eastAsia" w:ascii="黑体" w:hAnsi="黑体" w:eastAsia="黑体"/>
          <w:b w:val="0"/>
          <w:bCs w:val="0"/>
        </w:rPr>
        <w:t>概况</w:t>
      </w:r>
      <w:bookmarkEnd w:id="16"/>
      <w:bookmarkEnd w:id="17"/>
    </w:p>
    <w:p>
      <w:pPr>
        <w:pStyle w:val="12"/>
        <w:spacing w:before="0" w:after="0" w:line="560" w:lineRule="exact"/>
        <w:ind w:firstLine="640" w:firstLineChars="200"/>
        <w:rPr>
          <w:rStyle w:val="28"/>
          <w:rFonts w:ascii="黑体" w:hAnsi="黑体" w:eastAsia="黑体"/>
          <w:b w:val="0"/>
          <w:bCs w:val="0"/>
        </w:rPr>
      </w:pPr>
      <w:bookmarkStart w:id="18" w:name="_Toc29310"/>
      <w:bookmarkStart w:id="19" w:name="_Toc3227"/>
      <w:bookmarkStart w:id="20" w:name="_Toc15396600"/>
      <w:bookmarkStart w:id="21" w:name="_Toc15377197"/>
      <w:r>
        <w:rPr>
          <w:rStyle w:val="28"/>
          <w:rFonts w:hint="eastAsia" w:ascii="黑体" w:hAnsi="黑体" w:eastAsia="黑体"/>
          <w:b w:val="0"/>
          <w:bCs w:val="0"/>
        </w:rPr>
        <w:t>一、职能简介</w:t>
      </w:r>
      <w:bookmarkEnd w:id="18"/>
      <w:bookmarkEnd w:id="19"/>
    </w:p>
    <w:p>
      <w:pPr>
        <w:spacing w:line="560" w:lineRule="exact"/>
        <w:ind w:firstLine="640" w:firstLineChars="200"/>
      </w:pPr>
      <w:r>
        <w:rPr>
          <w:rFonts w:hint="eastAsia" w:ascii="仿宋" w:hAnsi="仿宋" w:eastAsia="仿宋" w:cs="仿宋"/>
          <w:color w:val="000000"/>
          <w:kern w:val="0"/>
          <w:sz w:val="32"/>
          <w:szCs w:val="32"/>
        </w:rPr>
        <w:t>通江县铁溪中心卫生院负责辖区内常见病、多发病的诊治、护理、院前急救、巡回医疗，辖区内疾病控制，妇幼保健，健康教育，计划免疫工作，承担乡村医生、卫生员和接生员业务培训与技术指导，负责初级卫生保健的规划实施，新型农村合作医疗的组织与管理，卫生监督与卫生信息的管理工作</w:t>
      </w:r>
      <w:r>
        <w:t>。</w:t>
      </w:r>
    </w:p>
    <w:p>
      <w:pPr>
        <w:pStyle w:val="12"/>
        <w:spacing w:before="0" w:after="0" w:line="560" w:lineRule="exact"/>
        <w:ind w:firstLine="640" w:firstLineChars="200"/>
        <w:rPr>
          <w:rFonts w:ascii="黑体" w:hAnsi="黑体" w:eastAsia="黑体"/>
          <w:b w:val="0"/>
        </w:rPr>
      </w:pPr>
      <w:bookmarkStart w:id="22" w:name="_Toc9560"/>
      <w:bookmarkStart w:id="23" w:name="_Toc10428"/>
      <w:r>
        <w:rPr>
          <w:rFonts w:hint="eastAsia" w:ascii="黑体" w:hAnsi="黑体" w:eastAsia="黑体"/>
          <w:b w:val="0"/>
        </w:rPr>
        <w:t>二、2021年重点工作</w:t>
      </w:r>
      <w:bookmarkEnd w:id="20"/>
      <w:bookmarkEnd w:id="21"/>
      <w:r>
        <w:rPr>
          <w:rFonts w:hint="eastAsia" w:ascii="黑体" w:hAnsi="黑体" w:eastAsia="黑体"/>
          <w:b w:val="0"/>
        </w:rPr>
        <w:t>完成情况</w:t>
      </w:r>
      <w:bookmarkEnd w:id="22"/>
      <w:bookmarkEnd w:id="23"/>
    </w:p>
    <w:p>
      <w:pPr>
        <w:ind w:firstLine="643" w:firstLineChars="200"/>
        <w:outlineLvl w:val="1"/>
        <w:rPr>
          <w:rFonts w:ascii="仿宋" w:hAnsi="仿宋" w:eastAsia="仿宋" w:cs="仿宋"/>
          <w:b/>
          <w:bCs/>
          <w:sz w:val="32"/>
          <w:szCs w:val="32"/>
        </w:rPr>
      </w:pPr>
      <w:bookmarkStart w:id="24" w:name="_Toc29479"/>
      <w:bookmarkStart w:id="25" w:name="_Toc15141"/>
      <w:bookmarkStart w:id="26" w:name="_Toc31532"/>
      <w:r>
        <w:rPr>
          <w:rFonts w:hint="eastAsia" w:ascii="仿宋" w:hAnsi="仿宋" w:eastAsia="仿宋" w:cs="仿宋"/>
          <w:b/>
          <w:bCs/>
          <w:sz w:val="32"/>
          <w:szCs w:val="32"/>
        </w:rPr>
        <w:t>1</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医疗业务收入完成情况。</w:t>
      </w:r>
      <w:bookmarkEnd w:id="24"/>
      <w:bookmarkEnd w:id="25"/>
      <w:bookmarkEnd w:id="26"/>
    </w:p>
    <w:p>
      <w:pPr>
        <w:ind w:firstLine="640" w:firstLineChars="200"/>
        <w:rPr>
          <w:rFonts w:ascii="仿宋" w:hAnsi="仿宋" w:eastAsia="仿宋" w:cs="仿宋"/>
          <w:sz w:val="32"/>
          <w:szCs w:val="32"/>
        </w:rPr>
      </w:pPr>
      <w:r>
        <w:rPr>
          <w:rFonts w:hint="eastAsia" w:ascii="仿宋" w:hAnsi="仿宋" w:eastAsia="仿宋" w:cs="仿宋"/>
          <w:sz w:val="32"/>
          <w:szCs w:val="32"/>
        </w:rPr>
        <w:t>截至12月20日，我院门诊人数23517人次，与上年相比下降2.03%；住院病人1210人次，与上年相比下降5.2%；业务总收入483.15万元（其中：门诊收入256.93万元，住院收入226.22万元），与上年相比上升11%；平均住院日6天，住院病床使用率达90%。</w:t>
      </w:r>
    </w:p>
    <w:p>
      <w:pPr>
        <w:ind w:firstLine="643" w:firstLineChars="200"/>
        <w:outlineLvl w:val="1"/>
        <w:rPr>
          <w:rFonts w:ascii="仿宋" w:hAnsi="仿宋" w:eastAsia="仿宋" w:cs="仿宋"/>
          <w:b/>
          <w:bCs/>
          <w:sz w:val="32"/>
          <w:szCs w:val="32"/>
        </w:rPr>
      </w:pPr>
      <w:bookmarkStart w:id="27" w:name="_Toc29717"/>
      <w:bookmarkStart w:id="28" w:name="_Toc22101"/>
      <w:bookmarkStart w:id="29" w:name="_Toc29077"/>
      <w:r>
        <w:rPr>
          <w:rFonts w:hint="eastAsia" w:ascii="仿宋" w:hAnsi="仿宋" w:eastAsia="仿宋" w:cs="仿宋"/>
          <w:b/>
          <w:bCs/>
          <w:sz w:val="32"/>
          <w:szCs w:val="32"/>
        </w:rPr>
        <w:t>2</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加强党风廉政建设筑牢思想防线。</w:t>
      </w:r>
      <w:bookmarkEnd w:id="27"/>
      <w:bookmarkEnd w:id="28"/>
      <w:bookmarkEnd w:id="29"/>
    </w:p>
    <w:p>
      <w:pPr>
        <w:ind w:firstLine="643" w:firstLineChars="200"/>
        <w:rPr>
          <w:rFonts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以中央、省、市全会精神为抓手，督促干部职工树立正确的人生观目标，利用例会抓好党纪法规及警示案例等党风廉政教育，全面提升了党员干部思想政治素质，坚定了政治理想信念。使全院干部职工的宗旨意识、廉洁意识、自律意识得到明显提高；</w:t>
      </w:r>
      <w:r>
        <w:rPr>
          <w:rFonts w:hint="eastAsia" w:ascii="仿宋" w:hAnsi="仿宋" w:eastAsia="仿宋" w:cs="仿宋"/>
          <w:b/>
          <w:bCs/>
          <w:sz w:val="32"/>
          <w:szCs w:val="32"/>
        </w:rPr>
        <w:t>二是</w:t>
      </w:r>
      <w:r>
        <w:rPr>
          <w:rFonts w:hint="eastAsia" w:ascii="仿宋" w:hAnsi="仿宋" w:eastAsia="仿宋" w:cs="仿宋"/>
          <w:sz w:val="32"/>
          <w:szCs w:val="32"/>
        </w:rPr>
        <w:t>组织干部职工召开专题会议认真学习了党的十九届六中全会精神和巴中市第五次党代会和县第十四次党代会精神；</w:t>
      </w:r>
      <w:r>
        <w:rPr>
          <w:rFonts w:hint="eastAsia" w:ascii="仿宋" w:hAnsi="仿宋" w:eastAsia="仿宋" w:cs="仿宋"/>
          <w:b/>
          <w:bCs/>
          <w:sz w:val="32"/>
          <w:szCs w:val="32"/>
        </w:rPr>
        <w:t>三是</w:t>
      </w:r>
      <w:r>
        <w:rPr>
          <w:rFonts w:hint="eastAsia" w:ascii="仿宋" w:hAnsi="仿宋" w:eastAsia="仿宋" w:cs="仿宋"/>
          <w:sz w:val="32"/>
          <w:szCs w:val="32"/>
        </w:rPr>
        <w:t>院内干部职工利用“学习强国” “云上通江”手机APP，不断加强党政、时事等学习。不断加强廉政教育，筑牢干部思想防线。</w:t>
      </w:r>
    </w:p>
    <w:p>
      <w:pPr>
        <w:ind w:left="630"/>
        <w:outlineLvl w:val="1"/>
        <w:rPr>
          <w:rFonts w:ascii="仿宋" w:hAnsi="仿宋" w:eastAsia="仿宋" w:cs="仿宋"/>
          <w:b/>
          <w:bCs/>
          <w:sz w:val="32"/>
          <w:szCs w:val="32"/>
        </w:rPr>
      </w:pPr>
      <w:bookmarkStart w:id="30" w:name="_Toc24226"/>
      <w:bookmarkStart w:id="31" w:name="_Toc2024"/>
      <w:bookmarkStart w:id="32" w:name="_Toc13692"/>
      <w:r>
        <w:rPr>
          <w:rFonts w:hint="eastAsia" w:ascii="仿宋" w:hAnsi="仿宋" w:eastAsia="仿宋" w:cs="仿宋"/>
          <w:b/>
          <w:bCs/>
          <w:sz w:val="32"/>
          <w:szCs w:val="32"/>
        </w:rPr>
        <w:t>3</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全面开展新冠肺炎防控工作。</w:t>
      </w:r>
      <w:bookmarkEnd w:id="30"/>
      <w:bookmarkEnd w:id="31"/>
      <w:bookmarkEnd w:id="32"/>
    </w:p>
    <w:p>
      <w:pPr>
        <w:ind w:firstLine="640"/>
        <w:rPr>
          <w:rFonts w:ascii="仿宋" w:hAnsi="仿宋" w:eastAsia="仿宋" w:cs="仿宋"/>
          <w:sz w:val="32"/>
          <w:szCs w:val="32"/>
        </w:rPr>
      </w:pPr>
      <w:r>
        <w:rPr>
          <w:rFonts w:hint="eastAsia" w:ascii="仿宋" w:hAnsi="仿宋" w:eastAsia="仿宋" w:cs="仿宋"/>
          <w:sz w:val="32"/>
          <w:szCs w:val="32"/>
        </w:rPr>
        <w:t>自新型冠状病毒感染的肺炎疫情发生以来，我院迅速反应，周密安排，认真贯彻落实中央、省、市、区和镇政府关于疫情防控工作相关部署和会议精神，及时落实各项防控措施。我镇未发生（发现）一例新冠肺炎感染患者。</w:t>
      </w:r>
      <w:r>
        <w:rPr>
          <w:rFonts w:hint="eastAsia" w:ascii="仿宋" w:hAnsi="仿宋" w:eastAsia="仿宋" w:cs="仿宋"/>
          <w:b/>
          <w:bCs/>
          <w:sz w:val="32"/>
          <w:szCs w:val="32"/>
        </w:rPr>
        <w:t>一是</w:t>
      </w:r>
      <w:r>
        <w:rPr>
          <w:rFonts w:hint="eastAsia" w:ascii="仿宋" w:hAnsi="仿宋" w:eastAsia="仿宋" w:cs="仿宋"/>
          <w:sz w:val="32"/>
          <w:szCs w:val="32"/>
        </w:rPr>
        <w:t>高度重视。我院把疫情防控工作作为一项政治任务，成立了新冠肺炎疫情防控工作领导小组，带领全院职工全力以赴，群策群力，把防控工作有效落实。</w:t>
      </w:r>
      <w:r>
        <w:rPr>
          <w:rFonts w:hint="eastAsia" w:ascii="仿宋" w:hAnsi="仿宋" w:eastAsia="仿宋" w:cs="仿宋"/>
          <w:b/>
          <w:bCs/>
          <w:sz w:val="32"/>
          <w:szCs w:val="32"/>
        </w:rPr>
        <w:t>二是</w:t>
      </w:r>
      <w:r>
        <w:rPr>
          <w:rFonts w:hint="eastAsia" w:ascii="仿宋" w:hAnsi="仿宋" w:eastAsia="仿宋" w:cs="仿宋"/>
          <w:sz w:val="32"/>
          <w:szCs w:val="32"/>
        </w:rPr>
        <w:t>组织学习。</w:t>
      </w:r>
      <w:r>
        <w:rPr>
          <w:rFonts w:hint="eastAsia" w:ascii="仿宋" w:hAnsi="仿宋" w:eastAsia="仿宋" w:cs="仿宋"/>
          <w:b/>
          <w:bCs/>
          <w:sz w:val="32"/>
          <w:szCs w:val="32"/>
        </w:rPr>
        <w:t>三是</w:t>
      </w:r>
      <w:r>
        <w:rPr>
          <w:rFonts w:hint="eastAsia" w:ascii="仿宋" w:hAnsi="仿宋" w:eastAsia="仿宋" w:cs="仿宋"/>
          <w:sz w:val="32"/>
          <w:szCs w:val="32"/>
        </w:rPr>
        <w:t>按防控设置要求，完善了预检分诊、落实了发热哨点诊室、建立了“双通道”。</w:t>
      </w:r>
      <w:r>
        <w:rPr>
          <w:rFonts w:hint="eastAsia" w:ascii="仿宋" w:hAnsi="仿宋" w:eastAsia="仿宋" w:cs="仿宋"/>
          <w:b/>
          <w:bCs/>
          <w:sz w:val="32"/>
          <w:szCs w:val="32"/>
        </w:rPr>
        <w:t>四是</w:t>
      </w:r>
      <w:r>
        <w:rPr>
          <w:rFonts w:hint="eastAsia" w:ascii="仿宋" w:hAnsi="仿宋" w:eastAsia="仿宋" w:cs="仿宋"/>
          <w:sz w:val="32"/>
          <w:szCs w:val="32"/>
        </w:rPr>
        <w:t>对高风险地区返乡人员进行随访和核酸采样工作，今年主要是对新疆、成都、西安等高风险区返乡人员进行了全面排查随访并进行了核酸采样。</w:t>
      </w:r>
      <w:r>
        <w:rPr>
          <w:rFonts w:hint="eastAsia" w:ascii="仿宋" w:hAnsi="仿宋" w:eastAsia="仿宋" w:cs="仿宋"/>
          <w:b/>
          <w:bCs/>
          <w:sz w:val="32"/>
          <w:szCs w:val="32"/>
        </w:rPr>
        <w:t>五是</w:t>
      </w:r>
      <w:r>
        <w:rPr>
          <w:rFonts w:hint="eastAsia" w:ascii="仿宋" w:hAnsi="仿宋" w:eastAsia="仿宋" w:cs="仿宋"/>
          <w:sz w:val="32"/>
          <w:szCs w:val="32"/>
        </w:rPr>
        <w:t>医院实行门禁制度，对就诊患者进行“两码”管理并进行流行病学调查；对住院患者及陪护人员做到核酸应检必检，对门诊患者进行告知并按要求进行核酸检测。</w:t>
      </w:r>
    </w:p>
    <w:p>
      <w:pPr>
        <w:ind w:left="420" w:leftChars="200" w:firstLine="321" w:firstLineChars="100"/>
        <w:outlineLvl w:val="1"/>
        <w:rPr>
          <w:rFonts w:ascii="仿宋" w:hAnsi="仿宋" w:eastAsia="仿宋" w:cs="仿宋"/>
          <w:b/>
          <w:bCs/>
          <w:sz w:val="32"/>
          <w:szCs w:val="32"/>
        </w:rPr>
      </w:pPr>
      <w:bookmarkStart w:id="33" w:name="_Toc2519"/>
      <w:bookmarkStart w:id="34" w:name="_Toc6735"/>
      <w:bookmarkStart w:id="35" w:name="_Toc24327"/>
      <w:r>
        <w:rPr>
          <w:rFonts w:hint="eastAsia" w:ascii="仿宋" w:hAnsi="仿宋" w:eastAsia="仿宋" w:cs="仿宋"/>
          <w:b/>
          <w:bCs/>
          <w:sz w:val="32"/>
          <w:szCs w:val="32"/>
        </w:rPr>
        <w:t>4</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加强医疗卫生行风建设，提高群众满意度。</w:t>
      </w:r>
      <w:bookmarkEnd w:id="33"/>
      <w:bookmarkEnd w:id="34"/>
      <w:bookmarkEnd w:id="35"/>
    </w:p>
    <w:p>
      <w:pPr>
        <w:ind w:firstLine="640" w:firstLineChars="200"/>
        <w:rPr>
          <w:rFonts w:ascii="仿宋" w:hAnsi="仿宋" w:eastAsia="仿宋" w:cs="仿宋"/>
          <w:kern w:val="0"/>
          <w:sz w:val="32"/>
          <w:szCs w:val="32"/>
        </w:rPr>
      </w:pPr>
      <w:r>
        <w:rPr>
          <w:rFonts w:hint="eastAsia" w:ascii="仿宋" w:hAnsi="仿宋" w:eastAsia="仿宋" w:cs="仿宋"/>
          <w:sz w:val="32"/>
          <w:szCs w:val="32"/>
        </w:rPr>
        <w:t>今年我院以“大处方、泛耗材”突出问题系统治理和规范使用医保基金为重点，持续加强行风建设，根据上级要求，结合我院实际，明确提出了工作要求。以规范诊疗行为，提高医疗质量，改善服务态度为主要内容，强化教育，完善制度、加强监管，严肃行业纪律，进一步遏制损害群众利益的行为，实现了工作作风明显好转、服务水平明显提升，工作效能明显增强，发展环境明显优化、群众满意度明显提高。</w:t>
      </w:r>
    </w:p>
    <w:p>
      <w:pPr>
        <w:ind w:firstLine="643" w:firstLineChars="200"/>
        <w:outlineLvl w:val="1"/>
        <w:rPr>
          <w:rFonts w:ascii="仿宋" w:hAnsi="仿宋" w:eastAsia="仿宋" w:cs="仿宋"/>
          <w:b/>
          <w:bCs/>
          <w:sz w:val="32"/>
          <w:szCs w:val="32"/>
        </w:rPr>
      </w:pPr>
      <w:bookmarkStart w:id="36" w:name="_Toc27527"/>
      <w:bookmarkStart w:id="37" w:name="_Toc24213"/>
      <w:bookmarkStart w:id="38" w:name="_Toc17340"/>
      <w:r>
        <w:rPr>
          <w:rFonts w:hint="eastAsia" w:ascii="仿宋" w:hAnsi="仿宋" w:eastAsia="仿宋" w:cs="仿宋"/>
          <w:b/>
          <w:bCs/>
          <w:sz w:val="32"/>
          <w:szCs w:val="32"/>
        </w:rPr>
        <w:t>5</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扎实推进实施基本公共卫生服务项目。</w:t>
      </w:r>
      <w:bookmarkEnd w:id="36"/>
      <w:bookmarkEnd w:id="37"/>
      <w:bookmarkEnd w:id="38"/>
    </w:p>
    <w:p>
      <w:pPr>
        <w:ind w:firstLine="640" w:firstLineChars="200"/>
        <w:rPr>
          <w:rFonts w:ascii="仿宋" w:hAnsi="仿宋" w:eastAsia="仿宋" w:cs="仿宋"/>
          <w:sz w:val="32"/>
          <w:szCs w:val="32"/>
        </w:rPr>
      </w:pPr>
      <w:r>
        <w:rPr>
          <w:rFonts w:hint="eastAsia" w:ascii="仿宋" w:hAnsi="仿宋" w:eastAsia="仿宋" w:cs="仿宋"/>
          <w:sz w:val="32"/>
          <w:szCs w:val="32"/>
        </w:rPr>
        <w:t>2021年共为全镇14个建制村11019人建立了健康档案，居民健康档案建档率为97%，全镇累计筛查出慢性病病人447人，慢性病管理率达100%。儿童系统管理率95%，孕产妇系统管理率95%，高危孕产妇管理率100%;1-12月份疫苗接种率100%，召开乡村医生例会6次，开展卫生法律法规及预防接种相关知识培训2次，乡村医生业务理论知识测试6次。1-12月份卫生院开展健康教育知识讲座12期，健康教育咨询活动13期，累计发放健康教育宣传材料16种15500份，累计接受咨询4354余人次。</w:t>
      </w:r>
    </w:p>
    <w:p>
      <w:pPr>
        <w:ind w:firstLine="643" w:firstLineChars="200"/>
        <w:outlineLvl w:val="1"/>
        <w:rPr>
          <w:rFonts w:ascii="仿宋" w:hAnsi="仿宋" w:eastAsia="仿宋" w:cs="仿宋"/>
          <w:b/>
          <w:bCs/>
          <w:sz w:val="32"/>
          <w:szCs w:val="32"/>
        </w:rPr>
      </w:pPr>
      <w:bookmarkStart w:id="39" w:name="_Toc28895"/>
      <w:bookmarkStart w:id="40" w:name="_Toc17229"/>
      <w:bookmarkStart w:id="41" w:name="_Toc14300"/>
      <w:r>
        <w:rPr>
          <w:rFonts w:hint="eastAsia" w:ascii="仿宋" w:hAnsi="仿宋" w:eastAsia="仿宋" w:cs="仿宋"/>
          <w:b/>
          <w:bCs/>
          <w:sz w:val="32"/>
          <w:szCs w:val="32"/>
        </w:rPr>
        <w:t>6</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全覆盖做好家庭医生签约服务。</w:t>
      </w:r>
      <w:bookmarkEnd w:id="39"/>
      <w:bookmarkEnd w:id="40"/>
      <w:bookmarkEnd w:id="41"/>
    </w:p>
    <w:p>
      <w:pPr>
        <w:ind w:firstLine="640" w:firstLineChars="200"/>
        <w:rPr>
          <w:rFonts w:ascii="仿宋" w:hAnsi="仿宋" w:eastAsia="仿宋" w:cs="仿宋"/>
          <w:sz w:val="32"/>
          <w:szCs w:val="32"/>
        </w:rPr>
      </w:pPr>
      <w:r>
        <w:rPr>
          <w:rFonts w:hint="eastAsia" w:ascii="仿宋" w:hAnsi="仿宋" w:eastAsia="仿宋" w:cs="仿宋"/>
          <w:sz w:val="32"/>
          <w:szCs w:val="32"/>
        </w:rPr>
        <w:t>我院成立了由医生、护士、村医组建的</w:t>
      </w:r>
      <w:r>
        <w:rPr>
          <w:rFonts w:hint="eastAsia" w:ascii="仿宋" w:hAnsi="仿宋" w:eastAsia="仿宋" w:cs="仿宋"/>
          <w:sz w:val="32"/>
          <w:szCs w:val="32"/>
          <w:u w:val="none" w:color="46CD7E"/>
          <w:shd w:val="clear" w:fill="auto"/>
          <w:lang w:eastAsia="zh-CN"/>
        </w:rPr>
        <w:t>3支</w:t>
      </w:r>
      <w:r>
        <w:rPr>
          <w:rFonts w:hint="eastAsia" w:ascii="仿宋" w:hAnsi="仿宋" w:eastAsia="仿宋" w:cs="仿宋"/>
          <w:sz w:val="32"/>
          <w:szCs w:val="32"/>
        </w:rPr>
        <w:t>家庭医生签约服务团队，积极开展家庭医生签约服务工作，采取全覆盖宣传、上门服务的方式，做到家喻户晓，结合团队自身服务能力，明确服务内容，有效满足居民健康需求。</w:t>
      </w:r>
    </w:p>
    <w:p>
      <w:pPr>
        <w:ind w:firstLine="640" w:firstLineChars="200"/>
        <w:rPr>
          <w:rFonts w:ascii="仿宋" w:hAnsi="仿宋" w:eastAsia="仿宋" w:cs="仿宋"/>
          <w:sz w:val="32"/>
          <w:szCs w:val="32"/>
        </w:rPr>
      </w:pPr>
      <w:r>
        <w:rPr>
          <w:rFonts w:hint="eastAsia" w:ascii="仿宋" w:hAnsi="仿宋" w:eastAsia="仿宋" w:cs="仿宋"/>
          <w:sz w:val="32"/>
          <w:szCs w:val="32"/>
        </w:rPr>
        <w:t>截至2021年12月20日，我镇常住人口签约11019人，签约率98%，重点人群签约4456人，签约率100%，贫困人口签约1425人，签约服务覆盖率100%。</w:t>
      </w:r>
    </w:p>
    <w:p>
      <w:pPr>
        <w:ind w:firstLine="643" w:firstLineChars="200"/>
        <w:outlineLvl w:val="1"/>
        <w:rPr>
          <w:rFonts w:ascii="仿宋" w:hAnsi="仿宋" w:eastAsia="仿宋" w:cs="仿宋"/>
          <w:b/>
          <w:bCs/>
          <w:sz w:val="32"/>
          <w:szCs w:val="32"/>
        </w:rPr>
      </w:pPr>
      <w:bookmarkStart w:id="42" w:name="_Toc12321"/>
      <w:bookmarkStart w:id="43" w:name="_Toc19849"/>
      <w:bookmarkStart w:id="44" w:name="_Toc23936"/>
      <w:r>
        <w:rPr>
          <w:rFonts w:hint="eastAsia" w:ascii="仿宋" w:hAnsi="仿宋" w:eastAsia="仿宋" w:cs="仿宋"/>
          <w:b/>
          <w:bCs/>
          <w:sz w:val="32"/>
          <w:szCs w:val="32"/>
        </w:rPr>
        <w:t>7</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做好</w:t>
      </w:r>
      <w:r>
        <w:rPr>
          <w:rFonts w:hint="eastAsia" w:ascii="仿宋" w:hAnsi="仿宋" w:eastAsia="仿宋" w:cs="仿宋"/>
          <w:b/>
          <w:bCs/>
          <w:sz w:val="32"/>
          <w:szCs w:val="32"/>
          <w:u w:val="none" w:color="46CD7E"/>
          <w:shd w:val="clear" w:fill="auto"/>
          <w:lang w:eastAsia="zh-CN"/>
        </w:rPr>
        <w:t>中医药</w:t>
      </w:r>
      <w:r>
        <w:rPr>
          <w:rFonts w:hint="eastAsia" w:ascii="仿宋" w:hAnsi="仿宋" w:eastAsia="仿宋" w:cs="仿宋"/>
          <w:b/>
          <w:bCs/>
          <w:sz w:val="32"/>
          <w:szCs w:val="32"/>
        </w:rPr>
        <w:t>创建，提升中医药服务能力。</w:t>
      </w:r>
      <w:bookmarkEnd w:id="42"/>
      <w:bookmarkEnd w:id="43"/>
      <w:bookmarkEnd w:id="44"/>
    </w:p>
    <w:p/>
    <w:p>
      <w:pPr>
        <w:widowControl/>
        <w:jc w:val="left"/>
        <w:rPr>
          <w:rFonts w:ascii="黑体" w:hAnsi="黑体" w:eastAsia="黑体"/>
          <w:bCs/>
          <w:sz w:val="44"/>
          <w:szCs w:val="44"/>
        </w:rPr>
      </w:pPr>
      <w:bookmarkStart w:id="45" w:name="_Toc15396602"/>
      <w:bookmarkStart w:id="46" w:name="_Toc15377204"/>
      <w:bookmarkStart w:id="47" w:name="_Toc22326"/>
    </w:p>
    <w:p>
      <w:pPr>
        <w:widowControl/>
        <w:ind w:firstLine="440" w:firstLineChars="100"/>
        <w:jc w:val="left"/>
        <w:outlineLvl w:val="0"/>
        <w:rPr>
          <w:rStyle w:val="27"/>
          <w:rFonts w:ascii="黑体" w:hAnsi="黑体" w:eastAsia="黑体"/>
          <w:b w:val="0"/>
        </w:rPr>
      </w:pPr>
      <w:bookmarkStart w:id="48" w:name="_Toc24290"/>
      <w:r>
        <w:rPr>
          <w:rFonts w:hint="eastAsia" w:ascii="黑体" w:hAnsi="黑体" w:eastAsia="黑体"/>
          <w:bCs/>
          <w:sz w:val="44"/>
          <w:szCs w:val="44"/>
        </w:rPr>
        <w:t>第二部分2021年度</w:t>
      </w:r>
      <w:r>
        <w:rPr>
          <w:rStyle w:val="27"/>
          <w:rFonts w:hint="eastAsia" w:ascii="黑体" w:hAnsi="黑体" w:eastAsia="黑体"/>
          <w:b w:val="0"/>
        </w:rPr>
        <w:t>单位决算情况说明</w:t>
      </w:r>
      <w:bookmarkEnd w:id="45"/>
      <w:bookmarkEnd w:id="46"/>
      <w:bookmarkEnd w:id="47"/>
      <w:bookmarkEnd w:id="48"/>
    </w:p>
    <w:p/>
    <w:p>
      <w:pPr>
        <w:pStyle w:val="26"/>
        <w:numPr>
          <w:ilvl w:val="0"/>
          <w:numId w:val="1"/>
        </w:numPr>
        <w:spacing w:line="600" w:lineRule="exact"/>
        <w:ind w:firstLineChars="0"/>
        <w:outlineLvl w:val="1"/>
        <w:rPr>
          <w:rStyle w:val="28"/>
          <w:rFonts w:ascii="黑体" w:hAnsi="黑体" w:eastAsia="黑体"/>
          <w:b w:val="0"/>
        </w:rPr>
      </w:pPr>
      <w:bookmarkStart w:id="49" w:name="_Toc23225"/>
      <w:bookmarkStart w:id="50" w:name="_Toc7611"/>
      <w:bookmarkStart w:id="51" w:name="_Toc15396603"/>
      <w:bookmarkStart w:id="52" w:name="_Toc15377205"/>
      <w:r>
        <w:rPr>
          <w:rFonts w:hint="eastAsia" w:ascii="黑体" w:hAnsi="黑体" w:eastAsia="黑体"/>
          <w:sz w:val="32"/>
          <w:szCs w:val="32"/>
        </w:rPr>
        <w:t>收</w:t>
      </w:r>
      <w:r>
        <w:rPr>
          <w:rStyle w:val="28"/>
          <w:rFonts w:hint="eastAsia" w:ascii="黑体" w:hAnsi="黑体" w:eastAsia="黑体"/>
          <w:b w:val="0"/>
        </w:rPr>
        <w:t>入支出决算总体情况说明</w:t>
      </w:r>
      <w:bookmarkEnd w:id="49"/>
      <w:bookmarkEnd w:id="50"/>
      <w:bookmarkEnd w:id="51"/>
      <w:bookmarkEnd w:id="52"/>
    </w:p>
    <w:p>
      <w:pPr>
        <w:spacing w:line="600" w:lineRule="exact"/>
        <w:ind w:firstLine="640" w:firstLineChars="200"/>
        <w:rPr>
          <w:rFonts w:ascii="仿宋" w:hAnsi="仿宋" w:eastAsia="仿宋"/>
          <w:sz w:val="32"/>
          <w:szCs w:val="32"/>
        </w:rPr>
      </w:pPr>
      <w:r>
        <w:rPr>
          <w:rFonts w:hint="eastAsia" w:ascii="仿宋" w:hAnsi="仿宋" w:eastAsia="仿宋"/>
          <w:sz w:val="32"/>
          <w:szCs w:val="32"/>
        </w:rPr>
        <w:t>通江县铁溪中心卫生院本年收入合计940.08万元，本年支出合计940.08万元。与2020年相比，本年收入增加22.91万元，增长2.50%主要原因是增加了其他妇女保健院等单位划拨借调人员经费。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3"/>
        <w:spacing w:before="93"/>
        <w:rPr>
          <w:rFonts w:eastAsia="仿宋"/>
        </w:rPr>
      </w:pPr>
      <w:r>
        <w:rPr>
          <w:rFonts w:hint="eastAsia" w:eastAsia="仿宋"/>
        </w:rPr>
        <w:drawing>
          <wp:inline distT="0" distB="0" distL="114300" distR="114300">
            <wp:extent cx="5108575" cy="2572385"/>
            <wp:effectExtent l="0" t="0" r="15875" b="18415"/>
            <wp:docPr id="780" name="_x0000_i244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_x0000_i2442" descr="图片1"/>
                    <pic:cNvPicPr>
                      <a:picLocks noChangeAspect="1"/>
                    </pic:cNvPicPr>
                  </pic:nvPicPr>
                  <pic:blipFill>
                    <a:blip r:embed="rId14"/>
                    <a:stretch>
                      <a:fillRect/>
                    </a:stretch>
                  </pic:blipFill>
                  <pic:spPr>
                    <a:xfrm>
                      <a:off x="0" y="0"/>
                      <a:ext cx="5108575" cy="2572385"/>
                    </a:xfrm>
                    <a:prstGeom prst="rect">
                      <a:avLst/>
                    </a:prstGeom>
                  </pic:spPr>
                </pic:pic>
              </a:graphicData>
            </a:graphic>
          </wp:inline>
        </w:drawing>
      </w:r>
    </w:p>
    <w:p>
      <w:pPr>
        <w:pStyle w:val="26"/>
        <w:numPr>
          <w:ilvl w:val="0"/>
          <w:numId w:val="1"/>
        </w:numPr>
        <w:spacing w:line="600" w:lineRule="exact"/>
        <w:ind w:firstLineChars="0"/>
        <w:outlineLvl w:val="1"/>
        <w:rPr>
          <w:rStyle w:val="28"/>
          <w:rFonts w:ascii="黑体" w:hAnsi="黑体" w:eastAsia="黑体"/>
          <w:b w:val="0"/>
        </w:rPr>
      </w:pPr>
      <w:bookmarkStart w:id="53" w:name="_Toc15396604"/>
      <w:bookmarkStart w:id="54" w:name="_Toc5265"/>
      <w:bookmarkStart w:id="55" w:name="_Toc15377206"/>
      <w:bookmarkStart w:id="56" w:name="_Toc22378"/>
      <w:r>
        <w:rPr>
          <w:rFonts w:hint="eastAsia" w:ascii="黑体" w:hAnsi="黑体" w:eastAsia="黑体"/>
          <w:sz w:val="32"/>
          <w:szCs w:val="32"/>
        </w:rPr>
        <w:t>收</w:t>
      </w:r>
      <w:r>
        <w:rPr>
          <w:rStyle w:val="28"/>
          <w:rFonts w:hint="eastAsia" w:ascii="黑体" w:hAnsi="黑体" w:eastAsia="黑体"/>
          <w:b w:val="0"/>
        </w:rPr>
        <w:t>入决算情况说明</w:t>
      </w:r>
      <w:bookmarkEnd w:id="53"/>
      <w:bookmarkEnd w:id="54"/>
      <w:bookmarkEnd w:id="55"/>
      <w:bookmarkEnd w:id="56"/>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2021年本年收入合计940.08万元，其中：一般公共预算财政拨款收入293.26万元，占本年收入合计31.20%，其他收入163.67万元，占本年收入合计17.41%。事业收入483.15万元，占本年收入合计51.39%。</w:t>
      </w:r>
    </w:p>
    <w:p>
      <w:pPr>
        <w:ind w:firstLine="640" w:firstLineChars="200"/>
        <w:jc w:val="center"/>
        <w:rPr>
          <w:rFonts w:ascii="仿宋" w:hAnsi="仿宋" w:eastAsia="仿宋"/>
          <w:sz w:val="32"/>
          <w:szCs w:val="32"/>
        </w:rPr>
      </w:pPr>
      <w:r>
        <w:rPr>
          <w:rFonts w:hint="eastAsia" w:ascii="仿宋" w:hAnsi="仿宋" w:eastAsia="仿宋"/>
          <w:sz w:val="32"/>
          <w:szCs w:val="32"/>
        </w:rPr>
        <w:t>（图2：收入决算结构图）</w:t>
      </w:r>
      <w:r>
        <w:rPr>
          <w:rFonts w:hint="eastAsia" w:ascii="仿宋" w:hAnsi="仿宋" w:eastAsia="仿宋"/>
          <w:sz w:val="32"/>
          <w:szCs w:val="32"/>
        </w:rPr>
        <w:drawing>
          <wp:inline distT="0" distB="0" distL="114300" distR="114300">
            <wp:extent cx="3961765" cy="2372995"/>
            <wp:effectExtent l="0" t="0" r="635" b="8255"/>
            <wp:docPr id="781" name="_x0000_i244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_x0000_i2443" descr="图片2"/>
                    <pic:cNvPicPr>
                      <a:picLocks noChangeAspect="1"/>
                    </pic:cNvPicPr>
                  </pic:nvPicPr>
                  <pic:blipFill>
                    <a:blip r:embed="rId15"/>
                    <a:stretch>
                      <a:fillRect/>
                    </a:stretch>
                  </pic:blipFill>
                  <pic:spPr>
                    <a:xfrm>
                      <a:off x="0" y="0"/>
                      <a:ext cx="3961765" cy="2372995"/>
                    </a:xfrm>
                    <a:prstGeom prst="rect">
                      <a:avLst/>
                    </a:prstGeom>
                  </pic:spPr>
                </pic:pic>
              </a:graphicData>
            </a:graphic>
          </wp:inline>
        </w:drawing>
      </w:r>
    </w:p>
    <w:p>
      <w:pPr>
        <w:pStyle w:val="26"/>
        <w:numPr>
          <w:ilvl w:val="0"/>
          <w:numId w:val="1"/>
        </w:numPr>
        <w:spacing w:line="600" w:lineRule="exact"/>
        <w:ind w:firstLineChars="0"/>
        <w:outlineLvl w:val="1"/>
        <w:rPr>
          <w:rStyle w:val="28"/>
          <w:rFonts w:ascii="黑体" w:hAnsi="黑体" w:eastAsia="黑体"/>
          <w:b w:val="0"/>
        </w:rPr>
      </w:pPr>
      <w:bookmarkStart w:id="57" w:name="_Toc15396605"/>
      <w:bookmarkStart w:id="58" w:name="_Toc15377207"/>
      <w:bookmarkStart w:id="59" w:name="_Toc6096"/>
      <w:bookmarkStart w:id="60" w:name="_Toc41"/>
      <w:r>
        <w:rPr>
          <w:rFonts w:hint="eastAsia" w:ascii="黑体" w:hAnsi="黑体" w:eastAsia="黑体"/>
          <w:sz w:val="32"/>
          <w:szCs w:val="32"/>
        </w:rPr>
        <w:t>支</w:t>
      </w:r>
      <w:r>
        <w:rPr>
          <w:rStyle w:val="28"/>
          <w:rFonts w:hint="eastAsia" w:ascii="黑体" w:hAnsi="黑体" w:eastAsia="黑体"/>
          <w:b w:val="0"/>
        </w:rPr>
        <w:t>出决算情况说明</w:t>
      </w:r>
      <w:bookmarkEnd w:id="57"/>
      <w:bookmarkEnd w:id="58"/>
      <w:bookmarkEnd w:id="59"/>
      <w:bookmarkEnd w:id="60"/>
    </w:p>
    <w:p>
      <w:pPr>
        <w:spacing w:line="600" w:lineRule="exact"/>
        <w:ind w:firstLine="640" w:firstLineChars="200"/>
        <w:outlineLvl w:val="1"/>
        <w:rPr>
          <w:rFonts w:ascii="仿宋" w:hAnsi="仿宋" w:eastAsia="仿宋"/>
          <w:sz w:val="32"/>
          <w:szCs w:val="32"/>
          <w:shd w:val="pct10" w:color="auto" w:fill="FFFFFF"/>
        </w:rPr>
      </w:pPr>
      <w:bookmarkStart w:id="61" w:name="_Toc6952"/>
      <w:bookmarkStart w:id="62" w:name="_Toc16896"/>
      <w:r>
        <w:rPr>
          <w:rFonts w:hint="eastAsia" w:ascii="仿宋" w:hAnsi="仿宋" w:eastAsia="仿宋" w:cs="仿宋"/>
          <w:sz w:val="32"/>
          <w:szCs w:val="32"/>
        </w:rPr>
        <w:t>2021年支出合计940.08万元。其中：基本支出848.62万元，占总支出的90.27%，项目支出91.45万元，占总支出的9.73%。</w:t>
      </w:r>
      <w:bookmarkEnd w:id="61"/>
      <w:bookmarkEnd w:id="62"/>
    </w:p>
    <w:p>
      <w:pPr>
        <w:ind w:firstLine="640" w:firstLineChars="200"/>
        <w:jc w:val="center"/>
        <w:rPr>
          <w:rFonts w:ascii="仿宋" w:hAnsi="仿宋" w:eastAsia="仿宋"/>
          <w:sz w:val="32"/>
          <w:szCs w:val="32"/>
        </w:rPr>
      </w:pPr>
      <w:r>
        <w:rPr>
          <w:rFonts w:hint="eastAsia" w:ascii="仿宋" w:hAnsi="仿宋" w:eastAsia="仿宋"/>
          <w:sz w:val="32"/>
          <w:szCs w:val="32"/>
        </w:rPr>
        <w:t>（图3：支出决算结构图）</w:t>
      </w:r>
      <w:r>
        <w:rPr>
          <w:rFonts w:hint="eastAsia" w:ascii="仿宋" w:hAnsi="仿宋" w:eastAsia="仿宋"/>
          <w:sz w:val="32"/>
          <w:szCs w:val="32"/>
        </w:rPr>
        <w:drawing>
          <wp:inline distT="0" distB="0" distL="114300" distR="114300">
            <wp:extent cx="4019550" cy="2065655"/>
            <wp:effectExtent l="0" t="0" r="0" b="10795"/>
            <wp:docPr id="782" name="_x0000_i244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_x0000_i2444" descr="图片3"/>
                    <pic:cNvPicPr>
                      <a:picLocks noChangeAspect="1"/>
                    </pic:cNvPicPr>
                  </pic:nvPicPr>
                  <pic:blipFill>
                    <a:blip r:embed="rId16"/>
                    <a:stretch>
                      <a:fillRect/>
                    </a:stretch>
                  </pic:blipFill>
                  <pic:spPr>
                    <a:xfrm>
                      <a:off x="0" y="0"/>
                      <a:ext cx="4019550" cy="2065655"/>
                    </a:xfrm>
                    <a:prstGeom prst="rect">
                      <a:avLst/>
                    </a:prstGeom>
                  </pic:spPr>
                </pic:pic>
              </a:graphicData>
            </a:graphic>
          </wp:inline>
        </w:drawing>
      </w:r>
    </w:p>
    <w:p>
      <w:pPr>
        <w:spacing w:line="600" w:lineRule="exact"/>
        <w:ind w:firstLine="640" w:firstLineChars="200"/>
        <w:outlineLvl w:val="1"/>
        <w:rPr>
          <w:rStyle w:val="28"/>
          <w:rFonts w:ascii="黑体" w:hAnsi="黑体" w:eastAsia="黑体"/>
          <w:b w:val="0"/>
        </w:rPr>
      </w:pPr>
      <w:bookmarkStart w:id="63" w:name="_Toc9754"/>
      <w:bookmarkStart w:id="64" w:name="_Toc15396606"/>
      <w:bookmarkStart w:id="65" w:name="_Toc15377208"/>
      <w:bookmarkStart w:id="66" w:name="_Toc30051"/>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63"/>
      <w:bookmarkEnd w:id="64"/>
      <w:bookmarkEnd w:id="65"/>
      <w:bookmarkEnd w:id="66"/>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2021年财政拨款收入总计293.26万元。与2020年相比，财政拨款收入减少27.75万元，减少8.64%。主要原因是减少了人员经费的预算。财政拨款支出总计293.26万元。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ind w:firstLine="640"/>
        <w:rPr>
          <w:rFonts w:ascii="仿宋" w:hAnsi="仿宋" w:eastAsia="仿宋"/>
          <w:b/>
          <w:sz w:val="32"/>
          <w:szCs w:val="32"/>
        </w:rPr>
      </w:pPr>
      <w:r>
        <w:rPr>
          <w:rFonts w:hint="eastAsia" w:ascii="仿宋" w:hAnsi="仿宋" w:eastAsia="仿宋"/>
          <w:b/>
          <w:sz w:val="32"/>
          <w:szCs w:val="32"/>
        </w:rPr>
        <w:drawing>
          <wp:inline distT="0" distB="0" distL="114300" distR="114300">
            <wp:extent cx="5041265" cy="2572385"/>
            <wp:effectExtent l="0" t="0" r="6985" b="18415"/>
            <wp:docPr id="783" name="_x0000_i2445"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 name="_x0000_i2445" descr="图片4"/>
                    <pic:cNvPicPr>
                      <a:picLocks noChangeAspect="1"/>
                    </pic:cNvPicPr>
                  </pic:nvPicPr>
                  <pic:blipFill>
                    <a:blip r:embed="rId17"/>
                    <a:stretch>
                      <a:fillRect/>
                    </a:stretch>
                  </pic:blipFill>
                  <pic:spPr>
                    <a:xfrm>
                      <a:off x="0" y="0"/>
                      <a:ext cx="5041265" cy="2572385"/>
                    </a:xfrm>
                    <a:prstGeom prst="rect">
                      <a:avLst/>
                    </a:prstGeom>
                  </pic:spPr>
                </pic:pic>
              </a:graphicData>
            </a:graphic>
          </wp:inline>
        </w:drawing>
      </w:r>
    </w:p>
    <w:p>
      <w:pPr>
        <w:spacing w:line="600" w:lineRule="exact"/>
        <w:ind w:firstLine="640" w:firstLineChars="200"/>
        <w:outlineLvl w:val="1"/>
        <w:rPr>
          <w:rStyle w:val="28"/>
          <w:rFonts w:ascii="黑体" w:hAnsi="黑体" w:eastAsia="黑体"/>
          <w:b w:val="0"/>
        </w:rPr>
      </w:pPr>
      <w:bookmarkStart w:id="67" w:name="_Toc15396607"/>
      <w:bookmarkStart w:id="68" w:name="_Toc5760"/>
      <w:bookmarkStart w:id="69" w:name="_Toc25664"/>
      <w:bookmarkStart w:id="70" w:name="_Toc15377209"/>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财政拨款支出决算情况说明</w:t>
      </w:r>
      <w:bookmarkEnd w:id="67"/>
      <w:bookmarkEnd w:id="68"/>
      <w:bookmarkEnd w:id="69"/>
      <w:bookmarkEnd w:id="70"/>
    </w:p>
    <w:p>
      <w:pPr>
        <w:spacing w:line="600" w:lineRule="exact"/>
        <w:ind w:firstLine="643" w:firstLineChars="200"/>
        <w:outlineLvl w:val="2"/>
        <w:rPr>
          <w:rFonts w:ascii="仿宋" w:hAnsi="仿宋" w:eastAsia="仿宋"/>
          <w:b/>
          <w:sz w:val="32"/>
          <w:szCs w:val="32"/>
        </w:rPr>
      </w:pPr>
      <w:bookmarkStart w:id="71" w:name="_Toc15377210"/>
      <w:r>
        <w:rPr>
          <w:rFonts w:hint="eastAsia" w:ascii="仿宋" w:hAnsi="仿宋" w:eastAsia="仿宋"/>
          <w:b/>
          <w:sz w:val="32"/>
          <w:szCs w:val="32"/>
        </w:rPr>
        <w:t>（一）一般公共预算财政拨款支出决算总体情况</w:t>
      </w:r>
      <w:bookmarkEnd w:id="71"/>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2021年一般公共预算财政拨款支出293.26万元，占本年支出合计的31.2%。与2020年相比，一般公共预算财政拨款减少27.75万元，减少8.64%。主要原因是减少了人员经费。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ind w:firstLine="640" w:firstLineChars="200"/>
        <w:rPr>
          <w:rFonts w:ascii="仿宋" w:hAnsi="仿宋" w:eastAsia="仿宋"/>
          <w:sz w:val="32"/>
          <w:szCs w:val="32"/>
        </w:rPr>
      </w:pPr>
      <w:r>
        <w:rPr>
          <w:rFonts w:hint="eastAsia" w:ascii="仿宋" w:hAnsi="仿宋" w:eastAsia="仿宋"/>
          <w:sz w:val="32"/>
          <w:szCs w:val="32"/>
        </w:rPr>
        <w:drawing>
          <wp:inline distT="0" distB="0" distL="114300" distR="114300">
            <wp:extent cx="5041265" cy="2584450"/>
            <wp:effectExtent l="0" t="0" r="6985" b="6350"/>
            <wp:docPr id="784" name="_x0000_i2446"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_x0000_i2446" descr="图片5"/>
                    <pic:cNvPicPr>
                      <a:picLocks noChangeAspect="1"/>
                    </pic:cNvPicPr>
                  </pic:nvPicPr>
                  <pic:blipFill>
                    <a:blip r:embed="rId18"/>
                    <a:stretch>
                      <a:fillRect/>
                    </a:stretch>
                  </pic:blipFill>
                  <pic:spPr>
                    <a:xfrm>
                      <a:off x="0" y="0"/>
                      <a:ext cx="5041265" cy="2584450"/>
                    </a:xfrm>
                    <a:prstGeom prst="rect">
                      <a:avLst/>
                    </a:prstGeom>
                  </pic:spPr>
                </pic:pic>
              </a:graphicData>
            </a:graphic>
          </wp:inline>
        </w:drawing>
      </w:r>
    </w:p>
    <w:p>
      <w:pPr>
        <w:spacing w:line="600" w:lineRule="exact"/>
        <w:ind w:firstLine="643" w:firstLineChars="200"/>
        <w:outlineLvl w:val="2"/>
        <w:rPr>
          <w:rFonts w:ascii="仿宋" w:hAnsi="仿宋" w:eastAsia="仿宋"/>
          <w:b/>
          <w:sz w:val="32"/>
          <w:szCs w:val="32"/>
        </w:rPr>
      </w:pPr>
      <w:bookmarkStart w:id="72" w:name="_Toc15377211"/>
      <w:r>
        <w:rPr>
          <w:rFonts w:hint="eastAsia" w:ascii="仿宋" w:hAnsi="仿宋" w:eastAsia="仿宋"/>
          <w:b/>
          <w:sz w:val="32"/>
          <w:szCs w:val="32"/>
        </w:rPr>
        <w:t>（二）一般公共预算财政拨款支出决算结构情况</w:t>
      </w:r>
      <w:bookmarkEnd w:id="72"/>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21年一般公共预算财政拨款支出293.26万元，主要用于以下方面</w:t>
      </w:r>
      <w:r>
        <w:t>：</w:t>
      </w:r>
      <w:r>
        <w:rPr>
          <w:rFonts w:hint="eastAsia" w:ascii="仿宋" w:hAnsi="仿宋" w:eastAsia="仿宋"/>
          <w:b/>
          <w:sz w:val="32"/>
          <w:szCs w:val="32"/>
        </w:rPr>
        <w:t>社会保障和就业（类）</w:t>
      </w:r>
      <w:r>
        <w:rPr>
          <w:rFonts w:hint="eastAsia" w:ascii="仿宋" w:hAnsi="仿宋" w:eastAsia="仿宋"/>
          <w:sz w:val="32"/>
          <w:szCs w:val="32"/>
        </w:rPr>
        <w:t>支出1.58万元，占0.54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t>（</w:t>
      </w:r>
      <w:r>
        <w:rPr>
          <w:rFonts w:hint="eastAsia" w:ascii="仿宋" w:hAnsi="仿宋" w:eastAsia="仿宋"/>
          <w:b/>
          <w:bCs/>
          <w:sz w:val="32"/>
          <w:szCs w:val="32"/>
        </w:rPr>
        <w:t>类）</w:t>
      </w:r>
      <w:r>
        <w:rPr>
          <w:rFonts w:hint="eastAsia" w:ascii="仿宋" w:hAnsi="仿宋" w:eastAsia="仿宋"/>
          <w:sz w:val="32"/>
          <w:szCs w:val="32"/>
        </w:rPr>
        <w:t>290.17万元，占98.95</w:t>
      </w:r>
      <w:r>
        <w:rPr>
          <w:rFonts w:ascii="仿宋" w:hAnsi="仿宋" w:eastAsia="仿宋"/>
          <w:sz w:val="32"/>
          <w:szCs w:val="32"/>
        </w:rPr>
        <w:t>%</w:t>
      </w:r>
      <w:r>
        <w:rPr>
          <w:rFonts w:hint="eastAsia" w:ascii="仿宋" w:hAnsi="仿宋" w:eastAsia="仿宋"/>
          <w:sz w:val="32"/>
          <w:szCs w:val="32"/>
        </w:rPr>
        <w:t>；</w:t>
      </w:r>
      <w:r>
        <w:rPr>
          <w:rStyle w:val="8"/>
          <w:rFonts w:hint="eastAsia" w:ascii="仿宋" w:hAnsi="仿宋" w:eastAsia="仿宋"/>
          <w:bCs/>
          <w:color w:val="000000"/>
          <w:sz w:val="32"/>
          <w:szCs w:val="32"/>
        </w:rPr>
        <w:t>农林水支出（类）</w:t>
      </w:r>
      <w:r>
        <w:rPr>
          <w:rFonts w:hint="eastAsia" w:ascii="仿宋" w:hAnsi="仿宋" w:eastAsia="仿宋"/>
          <w:sz w:val="32"/>
          <w:szCs w:val="32"/>
        </w:rPr>
        <w:t>住房保障支出1.5万元，占0.49</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ind w:firstLine="640" w:firstLineChars="200"/>
        <w:rPr>
          <w:rFonts w:ascii="仿宋" w:hAnsi="仿宋" w:eastAsia="仿宋"/>
          <w:sz w:val="32"/>
          <w:szCs w:val="32"/>
        </w:rPr>
      </w:pPr>
      <w:r>
        <w:rPr>
          <w:rFonts w:hint="eastAsia" w:ascii="仿宋" w:hAnsi="仿宋" w:eastAsia="仿宋"/>
          <w:sz w:val="32"/>
          <w:szCs w:val="32"/>
        </w:rPr>
        <w:drawing>
          <wp:inline distT="0" distB="0" distL="114300" distR="114300">
            <wp:extent cx="5041265" cy="2584450"/>
            <wp:effectExtent l="0" t="0" r="6985" b="6350"/>
            <wp:docPr id="785" name="_x0000_i244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_x0000_i2447" descr="图片2"/>
                    <pic:cNvPicPr>
                      <a:picLocks noChangeAspect="1"/>
                    </pic:cNvPicPr>
                  </pic:nvPicPr>
                  <pic:blipFill>
                    <a:blip r:embed="rId19"/>
                    <a:stretch>
                      <a:fillRect/>
                    </a:stretch>
                  </pic:blipFill>
                  <pic:spPr>
                    <a:xfrm>
                      <a:off x="0" y="0"/>
                      <a:ext cx="5041265" cy="2584450"/>
                    </a:xfrm>
                    <a:prstGeom prst="rect">
                      <a:avLst/>
                    </a:prstGeom>
                  </pic:spPr>
                </pic:pic>
              </a:graphicData>
            </a:graphic>
          </wp:inline>
        </w:drawing>
      </w:r>
    </w:p>
    <w:p>
      <w:pPr>
        <w:spacing w:line="600" w:lineRule="exact"/>
        <w:ind w:firstLine="643" w:firstLineChars="200"/>
        <w:outlineLvl w:val="2"/>
        <w:rPr>
          <w:rFonts w:ascii="仿宋" w:hAnsi="仿宋" w:eastAsia="仿宋"/>
          <w:b/>
          <w:sz w:val="32"/>
          <w:szCs w:val="32"/>
        </w:rPr>
      </w:pPr>
      <w:bookmarkStart w:id="73" w:name="_Toc15377212"/>
      <w:r>
        <w:rPr>
          <w:rFonts w:hint="eastAsia" w:ascii="仿宋" w:hAnsi="仿宋" w:eastAsia="仿宋"/>
          <w:b/>
          <w:sz w:val="32"/>
          <w:szCs w:val="32"/>
        </w:rPr>
        <w:t>（三）一般公共预算财政拨款支出决算具体情况</w:t>
      </w:r>
      <w:bookmarkEnd w:id="73"/>
    </w:p>
    <w:p>
      <w:pPr>
        <w:spacing w:line="600" w:lineRule="exact"/>
        <w:ind w:firstLine="643" w:firstLineChars="200"/>
        <w:outlineLvl w:val="1"/>
        <w:rPr>
          <w:rFonts w:ascii="仿宋" w:hAnsi="仿宋" w:eastAsia="仿宋"/>
          <w:sz w:val="32"/>
          <w:szCs w:val="32"/>
        </w:rPr>
      </w:pPr>
      <w:bookmarkStart w:id="74" w:name="_Toc15377444"/>
      <w:bookmarkStart w:id="75" w:name="_Toc24865"/>
      <w:bookmarkStart w:id="76" w:name="_Toc15377213"/>
      <w:bookmarkStart w:id="77" w:name="_Toc15378460"/>
      <w:bookmarkStart w:id="78" w:name="_Toc24943"/>
      <w:r>
        <w:rPr>
          <w:rFonts w:hint="eastAsia" w:ascii="仿宋" w:hAnsi="仿宋" w:eastAsia="仿宋"/>
          <w:b/>
          <w:sz w:val="32"/>
          <w:szCs w:val="32"/>
        </w:rPr>
        <w:t>2021年一般公共预算支出决算数为293.26</w:t>
      </w:r>
      <w:r>
        <w:rPr>
          <w:rFonts w:hint="eastAsia" w:ascii="仿宋" w:hAnsi="仿宋" w:eastAsia="仿宋"/>
          <w:sz w:val="32"/>
          <w:szCs w:val="32"/>
        </w:rPr>
        <w:t>，</w:t>
      </w:r>
      <w:r>
        <w:rPr>
          <w:rStyle w:val="8"/>
          <w:rFonts w:hint="eastAsia" w:ascii="仿宋" w:hAnsi="仿宋" w:eastAsia="仿宋"/>
          <w:bCs/>
          <w:sz w:val="32"/>
          <w:szCs w:val="32"/>
        </w:rPr>
        <w:t>完成预算的100</w:t>
      </w:r>
      <w:r>
        <w:rPr>
          <w:rStyle w:val="8"/>
          <w:rFonts w:ascii="仿宋" w:hAnsi="仿宋" w:eastAsia="仿宋"/>
          <w:bCs/>
          <w:sz w:val="32"/>
          <w:szCs w:val="32"/>
        </w:rPr>
        <w:t>%</w:t>
      </w:r>
      <w:r>
        <w:rPr>
          <w:rStyle w:val="8"/>
          <w:rFonts w:hint="eastAsia" w:ascii="仿宋" w:hAnsi="仿宋" w:eastAsia="仿宋"/>
          <w:bCs/>
          <w:sz w:val="32"/>
          <w:szCs w:val="32"/>
        </w:rPr>
        <w:t>。其中：</w:t>
      </w:r>
      <w:bookmarkEnd w:id="74"/>
      <w:bookmarkEnd w:id="75"/>
      <w:bookmarkEnd w:id="76"/>
      <w:bookmarkEnd w:id="77"/>
      <w:bookmarkEnd w:id="78"/>
    </w:p>
    <w:p>
      <w:pPr>
        <w:spacing w:line="600" w:lineRule="exact"/>
        <w:ind w:firstLine="643" w:firstLineChars="200"/>
        <w:rPr>
          <w:rFonts w:ascii="仿宋" w:hAnsi="仿宋" w:eastAsia="仿宋"/>
          <w:b/>
          <w:sz w:val="32"/>
          <w:szCs w:val="32"/>
        </w:rPr>
      </w:pPr>
      <w:r>
        <w:rPr>
          <w:rStyle w:val="8"/>
          <w:rFonts w:hint="eastAsia" w:ascii="仿宋" w:hAnsi="仿宋" w:eastAsia="仿宋"/>
          <w:bCs/>
          <w:sz w:val="32"/>
          <w:szCs w:val="32"/>
        </w:rPr>
        <w:t>1</w:t>
      </w:r>
      <w:r>
        <w:rPr>
          <w:rStyle w:val="8"/>
          <w:rFonts w:hint="eastAsia" w:ascii="仿宋" w:hAnsi="仿宋" w:eastAsia="仿宋"/>
          <w:bCs/>
          <w:sz w:val="32"/>
          <w:szCs w:val="32"/>
          <w:u w:val="none" w:color="46CD7E"/>
          <w:shd w:val="clear" w:fill="auto"/>
          <w:lang w:eastAsia="zh-CN"/>
        </w:rPr>
        <w:t>.</w:t>
      </w:r>
      <w:r>
        <w:rPr>
          <w:rStyle w:val="8"/>
          <w:rFonts w:hint="eastAsia" w:ascii="仿宋" w:hAnsi="仿宋" w:eastAsia="仿宋"/>
          <w:bCs/>
          <w:sz w:val="32"/>
          <w:szCs w:val="32"/>
        </w:rPr>
        <w:t>社会保障和就业（类）就业补助</w:t>
      </w:r>
      <w:r>
        <w:rPr>
          <w:rFonts w:hint="eastAsia" w:ascii="仿宋" w:hAnsi="仿宋" w:eastAsia="仿宋"/>
          <w:bCs/>
          <w:sz w:val="32"/>
          <w:szCs w:val="32"/>
        </w:rPr>
        <w:t>（款）就业见习补贴（项）</w:t>
      </w:r>
      <w:r>
        <w:rPr>
          <w:rStyle w:val="8"/>
          <w:rFonts w:ascii="仿宋" w:hAnsi="仿宋" w:eastAsia="仿宋"/>
          <w:bCs/>
          <w:sz w:val="32"/>
          <w:szCs w:val="32"/>
        </w:rPr>
        <w:t>:</w:t>
      </w:r>
      <w:r>
        <w:rPr>
          <w:rStyle w:val="8"/>
          <w:rFonts w:hint="eastAsia" w:ascii="仿宋" w:hAnsi="仿宋" w:eastAsia="仿宋"/>
          <w:b w:val="0"/>
          <w:bCs/>
          <w:sz w:val="32"/>
          <w:szCs w:val="32"/>
        </w:rPr>
        <w:t>支出决算为1.58万元，完成预算100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w:t>
      </w:r>
    </w:p>
    <w:p>
      <w:pPr>
        <w:spacing w:line="600" w:lineRule="exact"/>
        <w:ind w:firstLine="643" w:firstLineChars="200"/>
        <w:rPr>
          <w:rStyle w:val="8"/>
          <w:rFonts w:ascii="仿宋" w:hAnsi="仿宋" w:eastAsia="仿宋"/>
          <w:b w:val="0"/>
          <w:bCs/>
          <w:sz w:val="32"/>
          <w:szCs w:val="32"/>
        </w:rPr>
      </w:pPr>
      <w:r>
        <w:rPr>
          <w:rStyle w:val="8"/>
          <w:rFonts w:hint="eastAsia" w:ascii="仿宋" w:hAnsi="仿宋" w:eastAsia="仿宋"/>
          <w:bCs/>
          <w:sz w:val="32"/>
          <w:szCs w:val="32"/>
        </w:rPr>
        <w:t>2</w:t>
      </w:r>
      <w:r>
        <w:rPr>
          <w:rStyle w:val="8"/>
          <w:rFonts w:hint="eastAsia" w:ascii="仿宋" w:hAnsi="仿宋" w:eastAsia="仿宋"/>
          <w:bCs/>
          <w:sz w:val="32"/>
          <w:szCs w:val="32"/>
          <w:u w:val="none" w:color="46CD7E"/>
          <w:shd w:val="clear" w:fill="auto"/>
          <w:lang w:eastAsia="zh-CN"/>
        </w:rPr>
        <w:t>.</w:t>
      </w:r>
      <w:r>
        <w:rPr>
          <w:rFonts w:hint="eastAsia" w:ascii="仿宋" w:hAnsi="仿宋" w:eastAsia="仿宋"/>
          <w:b/>
          <w:bCs/>
          <w:sz w:val="32"/>
          <w:szCs w:val="32"/>
        </w:rPr>
        <w:t>卫生健康</w:t>
      </w:r>
      <w:r>
        <w:rPr>
          <w:rStyle w:val="8"/>
          <w:rFonts w:hint="eastAsia" w:ascii="仿宋" w:hAnsi="仿宋" w:eastAsia="仿宋"/>
          <w:bCs/>
          <w:sz w:val="32"/>
          <w:szCs w:val="32"/>
        </w:rPr>
        <w:t>（类）基层医疗卫生机构（款）乡镇卫生院（项）</w:t>
      </w:r>
      <w:r>
        <w:rPr>
          <w:rStyle w:val="8"/>
          <w:rFonts w:ascii="仿宋" w:hAnsi="仿宋" w:eastAsia="仿宋"/>
          <w:bCs/>
          <w:sz w:val="32"/>
          <w:szCs w:val="32"/>
        </w:rPr>
        <w:t>:</w:t>
      </w:r>
      <w:r>
        <w:rPr>
          <w:rStyle w:val="8"/>
          <w:rFonts w:hint="eastAsia" w:ascii="仿宋" w:hAnsi="仿宋" w:eastAsia="仿宋"/>
          <w:b w:val="0"/>
          <w:bCs/>
          <w:sz w:val="32"/>
          <w:szCs w:val="32"/>
        </w:rPr>
        <w:t>支出决算为235.06万元，完成预算100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w:t>
      </w:r>
    </w:p>
    <w:p>
      <w:pPr>
        <w:spacing w:line="600" w:lineRule="exact"/>
        <w:ind w:firstLine="643" w:firstLineChars="200"/>
        <w:rPr>
          <w:rStyle w:val="8"/>
          <w:rFonts w:ascii="仿宋" w:hAnsi="仿宋" w:eastAsia="仿宋"/>
          <w:b w:val="0"/>
          <w:bCs/>
          <w:sz w:val="32"/>
          <w:szCs w:val="32"/>
        </w:rPr>
      </w:pPr>
      <w:r>
        <w:rPr>
          <w:rFonts w:hint="eastAsia" w:ascii="仿宋" w:hAnsi="仿宋" w:eastAsia="仿宋"/>
          <w:b/>
          <w:sz w:val="32"/>
          <w:szCs w:val="32"/>
        </w:rPr>
        <w:t>3</w:t>
      </w:r>
      <w:r>
        <w:rPr>
          <w:rFonts w:hint="eastAsia" w:ascii="仿宋" w:hAnsi="仿宋" w:eastAsia="仿宋"/>
          <w:b/>
          <w:sz w:val="32"/>
          <w:szCs w:val="32"/>
          <w:u w:val="none" w:color="46CD7E"/>
          <w:shd w:val="clear" w:fill="auto"/>
          <w:lang w:eastAsia="zh-CN"/>
        </w:rPr>
        <w:t>.</w:t>
      </w:r>
      <w:r>
        <w:rPr>
          <w:rStyle w:val="8"/>
          <w:rFonts w:hint="eastAsia" w:ascii="仿宋" w:hAnsi="仿宋" w:eastAsia="仿宋"/>
          <w:bCs/>
          <w:color w:val="000000"/>
          <w:sz w:val="32"/>
          <w:szCs w:val="32"/>
        </w:rPr>
        <w:t>卫生健康（类）公共卫生（款）基本公共卫生服务（项）：</w:t>
      </w:r>
      <w:r>
        <w:rPr>
          <w:rStyle w:val="8"/>
          <w:rFonts w:hint="eastAsia" w:ascii="仿宋" w:hAnsi="仿宋" w:eastAsia="仿宋"/>
          <w:b w:val="0"/>
          <w:bCs/>
          <w:sz w:val="32"/>
          <w:szCs w:val="32"/>
        </w:rPr>
        <w:t>支出决算为55.11万元，完成预算100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w:t>
      </w:r>
    </w:p>
    <w:p>
      <w:pPr>
        <w:pStyle w:val="3"/>
        <w:spacing w:before="93"/>
        <w:ind w:firstLine="602" w:firstLineChars="200"/>
        <w:rPr>
          <w:rFonts w:eastAsia="仿宋"/>
          <w:b/>
          <w:bCs/>
        </w:rPr>
      </w:pPr>
      <w:r>
        <w:rPr>
          <w:rFonts w:hint="eastAsia" w:eastAsia="仿宋"/>
          <w:b/>
          <w:bCs/>
        </w:rPr>
        <w:t>4</w:t>
      </w:r>
      <w:r>
        <w:rPr>
          <w:rFonts w:hint="eastAsia" w:eastAsia="仿宋"/>
          <w:b/>
          <w:bCs/>
          <w:u w:val="none" w:color="46CD7E"/>
          <w:shd w:val="clear" w:fill="auto"/>
          <w:lang w:eastAsia="zh-CN"/>
        </w:rPr>
        <w:t>.</w:t>
      </w:r>
      <w:r>
        <w:rPr>
          <w:rStyle w:val="8"/>
          <w:rFonts w:hint="eastAsia" w:ascii="仿宋" w:hAnsi="仿宋" w:eastAsia="仿宋"/>
          <w:bCs/>
          <w:color w:val="000000"/>
          <w:sz w:val="32"/>
          <w:szCs w:val="32"/>
        </w:rPr>
        <w:t>农林水支出（类）扶贫（款）其他扶贫支出（项）:</w:t>
      </w:r>
      <w:r>
        <w:rPr>
          <w:rStyle w:val="8"/>
          <w:rFonts w:hint="eastAsia" w:ascii="仿宋" w:hAnsi="仿宋" w:eastAsia="仿宋"/>
          <w:b w:val="0"/>
          <w:bCs/>
          <w:sz w:val="32"/>
          <w:szCs w:val="32"/>
        </w:rPr>
        <w:t>支出决算为1.5万元，完成预算100</w:t>
      </w:r>
      <w:r>
        <w:rPr>
          <w:rStyle w:val="8"/>
          <w:rFonts w:ascii="仿宋" w:hAnsi="仿宋" w:eastAsia="仿宋"/>
          <w:b w:val="0"/>
          <w:bCs/>
          <w:sz w:val="32"/>
          <w:szCs w:val="32"/>
        </w:rPr>
        <w:t>%</w:t>
      </w:r>
      <w:r>
        <w:rPr>
          <w:rStyle w:val="8"/>
          <w:rFonts w:hint="eastAsia" w:ascii="仿宋" w:hAnsi="仿宋" w:eastAsia="仿宋"/>
          <w:b w:val="0"/>
          <w:bCs/>
          <w:sz w:val="32"/>
          <w:szCs w:val="32"/>
        </w:rPr>
        <w:t>。</w:t>
      </w:r>
    </w:p>
    <w:p>
      <w:pPr>
        <w:tabs>
          <w:tab w:val="right" w:pos="8306"/>
        </w:tabs>
        <w:spacing w:line="600" w:lineRule="exact"/>
        <w:ind w:firstLine="640"/>
        <w:outlineLvl w:val="1"/>
        <w:rPr>
          <w:rStyle w:val="28"/>
        </w:rPr>
      </w:pPr>
      <w:bookmarkStart w:id="79" w:name="_Toc15377214"/>
      <w:bookmarkStart w:id="80" w:name="_Toc1342"/>
      <w:bookmarkStart w:id="81" w:name="_Toc15396608"/>
      <w:bookmarkStart w:id="82" w:name="_Toc6127"/>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财政拨款基本支出决算情况说明</w:t>
      </w:r>
      <w:bookmarkEnd w:id="79"/>
      <w:bookmarkEnd w:id="80"/>
      <w:bookmarkEnd w:id="81"/>
      <w:bookmarkEnd w:id="82"/>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21年一般公共预算财政拨款基本支出201.80万元，其中：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缴费201.8万元，主要包括：基本工资108.46万元、津贴补贴29.24万元、伙食补助费0万元、机关事业单位基本养老保险缴费36.46万元、职业年金缴费12.04万元、职工基本医疗保险缴费4.56万元、其他社会保障缴费5.09万元、住房公积金5.96万元等。</w:t>
      </w:r>
    </w:p>
    <w:p>
      <w:pPr>
        <w:spacing w:line="560" w:lineRule="exact"/>
        <w:rPr>
          <w:rFonts w:ascii="仿宋" w:hAnsi="仿宋" w:eastAsia="仿宋" w:cs="仿宋"/>
          <w:sz w:val="32"/>
          <w:szCs w:val="32"/>
        </w:rPr>
      </w:pPr>
      <w:r>
        <w:rPr>
          <w:rFonts w:hint="eastAsia" w:ascii="仿宋" w:hAnsi="仿宋" w:eastAsia="仿宋"/>
          <w:sz w:val="32"/>
          <w:szCs w:val="32"/>
        </w:rPr>
        <w:t>公用经费91.45万元，主要包括：</w:t>
      </w:r>
      <w:r>
        <w:rPr>
          <w:rFonts w:hint="eastAsia" w:ascii="仿宋" w:hAnsi="仿宋" w:eastAsia="仿宋" w:cs="仿宋"/>
          <w:sz w:val="32"/>
          <w:szCs w:val="32"/>
        </w:rPr>
        <w:t>办公费9.8万元、印刷费5.14万元、手续费0.3万元、水费2.8万元、差旅费4.58万元、会议费2.04万元、培训费1.97万元、劳务费49.32万元、其他商品和服务费0.66万元等。</w:t>
      </w:r>
    </w:p>
    <w:p>
      <w:pPr>
        <w:spacing w:line="600" w:lineRule="exact"/>
        <w:ind w:firstLine="640"/>
        <w:outlineLvl w:val="1"/>
        <w:rPr>
          <w:rStyle w:val="28"/>
          <w:rFonts w:ascii="黑体" w:hAnsi="黑体" w:eastAsia="黑体"/>
          <w:b w:val="0"/>
        </w:rPr>
      </w:pPr>
      <w:bookmarkStart w:id="83" w:name="_Toc12514"/>
      <w:bookmarkStart w:id="84" w:name="_Toc15377215"/>
      <w:bookmarkStart w:id="85" w:name="_Toc7596"/>
      <w:bookmarkStart w:id="86" w:name="_Toc15396609"/>
      <w:r>
        <w:rPr>
          <w:rFonts w:hint="eastAsia" w:ascii="黑体" w:eastAsia="黑体"/>
          <w:sz w:val="32"/>
          <w:szCs w:val="32"/>
        </w:rPr>
        <w:t>七、</w:t>
      </w:r>
      <w:r>
        <w:rPr>
          <w:rStyle w:val="28"/>
          <w:rFonts w:hint="eastAsia" w:ascii="黑体" w:hAnsi="黑体" w:eastAsia="黑体"/>
        </w:rPr>
        <w:t>“</w:t>
      </w:r>
      <w:r>
        <w:rPr>
          <w:rStyle w:val="28"/>
          <w:rFonts w:hint="eastAsia" w:ascii="黑体" w:hAnsi="黑体" w:eastAsia="黑体"/>
          <w:b w:val="0"/>
        </w:rPr>
        <w:t>三公”经费</w:t>
      </w:r>
      <w:r>
        <w:rPr>
          <w:rFonts w:hint="eastAsia" w:ascii="黑体" w:hAnsi="黑体" w:eastAsia="黑体"/>
          <w:sz w:val="32"/>
          <w:szCs w:val="32"/>
        </w:rPr>
        <w:t>财政拨款支出决算情况说明</w:t>
      </w:r>
      <w:bookmarkEnd w:id="83"/>
      <w:bookmarkEnd w:id="84"/>
      <w:bookmarkEnd w:id="85"/>
      <w:bookmarkEnd w:id="86"/>
    </w:p>
    <w:p>
      <w:pPr>
        <w:spacing w:line="600" w:lineRule="exact"/>
        <w:ind w:firstLine="640"/>
        <w:outlineLvl w:val="2"/>
        <w:rPr>
          <w:rFonts w:ascii="仿宋" w:hAnsi="仿宋" w:eastAsia="仿宋"/>
          <w:b/>
          <w:sz w:val="32"/>
          <w:szCs w:val="32"/>
        </w:rPr>
      </w:pPr>
      <w:bookmarkStart w:id="87" w:name="_Toc15377216"/>
      <w:r>
        <w:rPr>
          <w:rFonts w:hint="eastAsia" w:ascii="仿宋" w:hAnsi="仿宋" w:eastAsia="仿宋"/>
          <w:b/>
          <w:sz w:val="32"/>
          <w:szCs w:val="32"/>
        </w:rPr>
        <w:t>（一）“三公”经费财政拨款支出决算总体情况说明</w:t>
      </w:r>
      <w:bookmarkEnd w:id="8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21年“三公”经费财政拨款支出决算为0万元。</w:t>
      </w:r>
    </w:p>
    <w:p>
      <w:pPr>
        <w:spacing w:line="600" w:lineRule="exact"/>
        <w:ind w:firstLine="640"/>
        <w:outlineLvl w:val="2"/>
        <w:rPr>
          <w:rFonts w:ascii="仿宋" w:hAnsi="仿宋" w:eastAsia="仿宋"/>
          <w:b/>
          <w:sz w:val="32"/>
          <w:szCs w:val="32"/>
        </w:rPr>
      </w:pPr>
      <w:bookmarkStart w:id="88" w:name="_Toc15377217"/>
      <w:r>
        <w:rPr>
          <w:rFonts w:hint="eastAsia" w:ascii="仿宋" w:hAnsi="仿宋" w:eastAsia="仿宋"/>
          <w:b/>
          <w:sz w:val="32"/>
          <w:szCs w:val="32"/>
        </w:rPr>
        <w:t>（二）“三公”经费财政拨款支出决算具体情况说明</w:t>
      </w:r>
      <w:bookmarkEnd w:id="88"/>
    </w:p>
    <w:p>
      <w:pPr>
        <w:spacing w:line="560" w:lineRule="exact"/>
        <w:ind w:firstLine="640"/>
        <w:rPr>
          <w:rFonts w:ascii="仿宋" w:hAnsi="仿宋" w:eastAsia="仿宋" w:cs="仿宋"/>
          <w:sz w:val="32"/>
          <w:szCs w:val="32"/>
        </w:rPr>
      </w:pPr>
      <w:r>
        <w:rPr>
          <w:rFonts w:hint="eastAsia" w:ascii="仿宋" w:hAnsi="仿宋" w:eastAsia="仿宋" w:cs="仿宋"/>
          <w:sz w:val="32"/>
          <w:szCs w:val="32"/>
        </w:rPr>
        <w:t>2021年“三公”经费财政拨款支出决算中，因公出国（境）费支出决算0万元，公务用车购置及运行维护费支出决算0万元；公务接待费支出决算0万元。具体情况如下：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pStyle w:val="3"/>
        <w:spacing w:before="93"/>
        <w:rPr>
          <w:rFonts w:eastAsia="仿宋"/>
        </w:rPr>
      </w:pPr>
      <w:r>
        <w:rPr>
          <w:rFonts w:hint="eastAsia" w:eastAsia="仿宋"/>
        </w:rPr>
        <w:drawing>
          <wp:inline distT="0" distB="0" distL="114300" distR="114300">
            <wp:extent cx="4590415" cy="2749550"/>
            <wp:effectExtent l="0" t="0" r="635" b="12700"/>
            <wp:docPr id="786" name="_x0000_i2448" descr="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_x0000_i2448" descr="图片9"/>
                    <pic:cNvPicPr>
                      <a:picLocks noChangeAspect="1"/>
                    </pic:cNvPicPr>
                  </pic:nvPicPr>
                  <pic:blipFill>
                    <a:blip r:embed="rId20"/>
                    <a:stretch>
                      <a:fillRect/>
                    </a:stretch>
                  </pic:blipFill>
                  <pic:spPr>
                    <a:xfrm>
                      <a:off x="0" y="0"/>
                      <a:ext cx="4590415" cy="2749550"/>
                    </a:xfrm>
                    <a:prstGeom prst="rect">
                      <a:avLst/>
                    </a:prstGeom>
                  </pic:spPr>
                </pic:pic>
              </a:graphicData>
            </a:graphic>
          </wp:inline>
        </w:drawing>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1.因公出国（境）经费支出</w:t>
      </w:r>
      <w:r>
        <w:rPr>
          <w:rFonts w:hint="eastAsia" w:ascii="仿宋" w:hAnsi="仿宋" w:eastAsia="仿宋" w:cs="仿宋"/>
          <w:sz w:val="32"/>
          <w:szCs w:val="32"/>
        </w:rPr>
        <w:t>0万元。</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2.公务用车购置及运行维护费支出0</w:t>
      </w:r>
      <w:r>
        <w:rPr>
          <w:rFonts w:hint="eastAsia" w:ascii="仿宋" w:hAnsi="仿宋" w:eastAsia="仿宋" w:cs="仿宋"/>
          <w:sz w:val="32"/>
          <w:szCs w:val="32"/>
        </w:rPr>
        <w:t>万元。</w:t>
      </w:r>
    </w:p>
    <w:p>
      <w:pPr>
        <w:spacing w:line="560" w:lineRule="exact"/>
        <w:ind w:firstLine="643" w:firstLineChars="200"/>
        <w:rPr>
          <w:rFonts w:ascii="仿宋_GB2312" w:eastAsia="仿宋_GB2312"/>
          <w:sz w:val="32"/>
          <w:szCs w:val="32"/>
        </w:rPr>
      </w:pPr>
      <w:r>
        <w:rPr>
          <w:rFonts w:hint="eastAsia" w:ascii="仿宋" w:hAnsi="仿宋" w:eastAsia="仿宋" w:cs="仿宋"/>
          <w:b/>
          <w:sz w:val="32"/>
          <w:szCs w:val="32"/>
        </w:rPr>
        <w:t>3.公务接待费支出</w:t>
      </w:r>
      <w:r>
        <w:rPr>
          <w:rFonts w:hint="eastAsia" w:ascii="仿宋" w:hAnsi="仿宋" w:eastAsia="仿宋" w:cs="仿宋"/>
          <w:sz w:val="32"/>
          <w:szCs w:val="32"/>
        </w:rPr>
        <w:t>0万元。</w:t>
      </w:r>
    </w:p>
    <w:p>
      <w:pPr>
        <w:spacing w:line="600" w:lineRule="exact"/>
        <w:ind w:firstLine="640"/>
        <w:outlineLvl w:val="1"/>
        <w:rPr>
          <w:rStyle w:val="28"/>
          <w:rFonts w:ascii="黑体" w:hAnsi="黑体" w:eastAsia="黑体"/>
        </w:rPr>
      </w:pPr>
      <w:bookmarkStart w:id="89" w:name="_Toc15396610"/>
      <w:bookmarkStart w:id="90" w:name="_Toc1797"/>
      <w:bookmarkStart w:id="91" w:name="_Toc15377218"/>
      <w:bookmarkStart w:id="92" w:name="_Toc27047"/>
      <w:r>
        <w:rPr>
          <w:rFonts w:hint="eastAsia" w:ascii="黑体" w:eastAsia="黑体"/>
          <w:sz w:val="32"/>
          <w:szCs w:val="32"/>
        </w:rPr>
        <w:t>八、</w:t>
      </w:r>
      <w:r>
        <w:rPr>
          <w:rStyle w:val="28"/>
          <w:rFonts w:hint="eastAsia" w:ascii="黑体" w:hAnsi="黑体" w:eastAsia="黑体"/>
          <w:b w:val="0"/>
        </w:rPr>
        <w:t>政府性基金预算</w:t>
      </w:r>
      <w:r>
        <w:rPr>
          <w:rFonts w:hint="eastAsia" w:ascii="黑体" w:hAnsi="黑体" w:eastAsia="黑体"/>
          <w:sz w:val="32"/>
          <w:szCs w:val="32"/>
        </w:rPr>
        <w:t>支出决算情况说明</w:t>
      </w:r>
      <w:bookmarkEnd w:id="89"/>
      <w:bookmarkEnd w:id="90"/>
      <w:bookmarkEnd w:id="91"/>
      <w:bookmarkEnd w:id="92"/>
    </w:p>
    <w:p>
      <w:pPr>
        <w:spacing w:line="560" w:lineRule="exact"/>
        <w:ind w:firstLine="640" w:firstLineChars="200"/>
        <w:rPr>
          <w:rFonts w:ascii="仿宋_GB2312" w:eastAsia="仿宋_GB2312"/>
          <w:sz w:val="32"/>
          <w:szCs w:val="32"/>
        </w:rPr>
      </w:pPr>
      <w:r>
        <w:rPr>
          <w:rFonts w:hint="eastAsia" w:ascii="仿宋" w:hAnsi="仿宋" w:eastAsia="仿宋" w:cs="仿宋"/>
          <w:sz w:val="32"/>
          <w:szCs w:val="32"/>
        </w:rPr>
        <w:t>2021年本单位没有政府基金预算收支。</w:t>
      </w:r>
    </w:p>
    <w:p>
      <w:pPr>
        <w:numPr>
          <w:ilvl w:val="0"/>
          <w:numId w:val="2"/>
        </w:numPr>
        <w:spacing w:line="600" w:lineRule="exact"/>
        <w:ind w:firstLine="640"/>
        <w:outlineLvl w:val="1"/>
        <w:rPr>
          <w:rStyle w:val="28"/>
          <w:rFonts w:ascii="黑体" w:hAnsi="黑体" w:eastAsia="黑体"/>
          <w:b w:val="0"/>
        </w:rPr>
      </w:pPr>
      <w:bookmarkStart w:id="93" w:name="_Toc15377219"/>
      <w:bookmarkStart w:id="94" w:name="_Toc16747"/>
      <w:bookmarkStart w:id="95" w:name="_Toc15396611"/>
      <w:bookmarkStart w:id="96" w:name="_Toc14465"/>
      <w:r>
        <w:rPr>
          <w:rStyle w:val="28"/>
          <w:rFonts w:hint="eastAsia" w:ascii="黑体" w:hAnsi="黑体" w:eastAsia="黑体"/>
          <w:b w:val="0"/>
        </w:rPr>
        <w:t>国有</w:t>
      </w:r>
      <w:r>
        <w:rPr>
          <w:rFonts w:hint="eastAsia" w:ascii="黑体" w:hAnsi="黑体" w:eastAsia="黑体"/>
          <w:sz w:val="32"/>
          <w:szCs w:val="32"/>
        </w:rPr>
        <w:t>资本经营</w:t>
      </w:r>
      <w:r>
        <w:rPr>
          <w:rStyle w:val="28"/>
          <w:rFonts w:hint="eastAsia" w:ascii="黑体" w:hAnsi="黑体" w:eastAsia="黑体"/>
          <w:b w:val="0"/>
        </w:rPr>
        <w:t>预算</w:t>
      </w:r>
      <w:r>
        <w:rPr>
          <w:rFonts w:hint="eastAsia" w:ascii="黑体" w:hAnsi="黑体" w:eastAsia="黑体"/>
          <w:sz w:val="32"/>
          <w:szCs w:val="32"/>
        </w:rPr>
        <w:t>支出决算情况说明</w:t>
      </w:r>
      <w:bookmarkEnd w:id="93"/>
      <w:bookmarkEnd w:id="94"/>
      <w:bookmarkEnd w:id="95"/>
      <w:bookmarkEnd w:id="96"/>
    </w:p>
    <w:p>
      <w:pPr>
        <w:spacing w:line="580" w:lineRule="exact"/>
        <w:jc w:val="center"/>
        <w:rPr>
          <w:rFonts w:ascii="方正小标宋简体" w:hAnsi="方正小标宋简体" w:eastAsia="方正小标宋简体" w:cs="方正小标宋简体"/>
          <w:sz w:val="44"/>
          <w:szCs w:val="44"/>
        </w:rPr>
      </w:pPr>
      <w:bookmarkStart w:id="97" w:name="_Toc21948"/>
      <w:bookmarkStart w:id="98" w:name="_Toc21862"/>
      <w:r>
        <w:rPr>
          <w:rFonts w:hint="eastAsia" w:ascii="仿宋" w:hAnsi="仿宋" w:eastAsia="仿宋" w:cs="仿宋"/>
          <w:sz w:val="32"/>
          <w:szCs w:val="32"/>
        </w:rPr>
        <w:t>2021年本单位没有国有资本经营预算拨款支出。</w:t>
      </w:r>
      <w:bookmarkEnd w:id="97"/>
      <w:bookmarkEnd w:id="98"/>
    </w:p>
    <w:p>
      <w:pPr>
        <w:numPr>
          <w:ilvl w:val="0"/>
          <w:numId w:val="2"/>
        </w:numPr>
        <w:spacing w:line="600" w:lineRule="exact"/>
        <w:ind w:firstLine="640"/>
        <w:outlineLvl w:val="1"/>
        <w:rPr>
          <w:rStyle w:val="28"/>
          <w:rFonts w:ascii="黑体" w:hAnsi="黑体" w:eastAsia="黑体"/>
          <w:b w:val="0"/>
        </w:rPr>
      </w:pPr>
      <w:bookmarkStart w:id="99" w:name="_Toc15377221"/>
      <w:bookmarkStart w:id="100" w:name="_Toc15396612"/>
      <w:bookmarkStart w:id="101" w:name="_Toc2854"/>
      <w:bookmarkStart w:id="102" w:name="_Toc19730"/>
      <w:r>
        <w:rPr>
          <w:rStyle w:val="28"/>
          <w:rFonts w:hint="eastAsia" w:ascii="黑体" w:hAnsi="黑体" w:eastAsia="黑体"/>
          <w:b w:val="0"/>
        </w:rPr>
        <w:t>其他重要事项的情况说明</w:t>
      </w:r>
      <w:bookmarkEnd w:id="99"/>
      <w:bookmarkEnd w:id="100"/>
      <w:bookmarkEnd w:id="101"/>
      <w:bookmarkEnd w:id="102"/>
    </w:p>
    <w:p>
      <w:pPr>
        <w:spacing w:line="600" w:lineRule="exact"/>
        <w:ind w:firstLine="643" w:firstLineChars="200"/>
        <w:outlineLvl w:val="2"/>
        <w:rPr>
          <w:rFonts w:ascii="仿宋" w:hAnsi="仿宋" w:eastAsia="仿宋"/>
          <w:sz w:val="32"/>
          <w:szCs w:val="32"/>
        </w:rPr>
      </w:pPr>
      <w:bookmarkStart w:id="103" w:name="_Toc15377222"/>
      <w:r>
        <w:rPr>
          <w:rFonts w:hint="eastAsia" w:ascii="仿宋" w:hAnsi="仿宋" w:eastAsia="仿宋"/>
          <w:b/>
          <w:sz w:val="32"/>
          <w:szCs w:val="32"/>
        </w:rPr>
        <w:t>（一）单位运行经费支出情况</w:t>
      </w:r>
      <w:bookmarkEnd w:id="103"/>
    </w:p>
    <w:p>
      <w:pPr>
        <w:spacing w:line="560" w:lineRule="exact"/>
        <w:ind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2021年，本单位机关运行经费支出0万元。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04" w:name="_Toc15377223"/>
      <w:r>
        <w:rPr>
          <w:rFonts w:hint="eastAsia" w:ascii="仿宋" w:hAnsi="仿宋" w:eastAsia="仿宋"/>
          <w:b/>
          <w:sz w:val="32"/>
          <w:szCs w:val="32"/>
        </w:rPr>
        <w:t>（二）政府采购支出情况</w:t>
      </w:r>
      <w:bookmarkEnd w:id="104"/>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2021年，本单位政府采购支出总额0万元。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05" w:name="_Toc15377224"/>
      <w:r>
        <w:rPr>
          <w:rFonts w:hint="eastAsia" w:ascii="仿宋" w:hAnsi="仿宋" w:eastAsia="仿宋"/>
          <w:b/>
          <w:sz w:val="32"/>
          <w:szCs w:val="32"/>
        </w:rPr>
        <w:t>（三）国有资产占有使用情况</w:t>
      </w:r>
      <w:bookmarkEnd w:id="105"/>
    </w:p>
    <w:p>
      <w:pPr>
        <w:autoSpaceDE w:val="0"/>
        <w:autoSpaceDN w:val="0"/>
        <w:adjustRightInd w:val="0"/>
        <w:spacing w:line="560" w:lineRule="exact"/>
        <w:ind w:firstLine="640" w:firstLineChars="200"/>
        <w:jc w:val="left"/>
        <w:rPr>
          <w:rFonts w:ascii="仿宋" w:hAnsi="仿宋" w:eastAsia="仿宋" w:cs="仿宋"/>
          <w:b/>
          <w:bCs/>
          <w:color w:val="FF0000"/>
          <w:sz w:val="32"/>
          <w:szCs w:val="32"/>
        </w:rPr>
      </w:pPr>
      <w:r>
        <w:rPr>
          <w:rFonts w:hint="eastAsia" w:ascii="仿宋" w:hAnsi="仿宋" w:eastAsia="仿宋" w:cs="仿宋"/>
          <w:color w:val="000000"/>
          <w:sz w:val="32"/>
          <w:szCs w:val="32"/>
        </w:rPr>
        <w:t>截至2021年12月31日，本单位车辆数为1台，单价50万元以上专用设备1台（套），单价100万元以上专用设备0台（套）。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预算绩效管理要求，本单位在年初预算编制阶段，组织对2个项目开展了预算事前绩效评估，对2个项目编制了绩效目标，预算执行过程中，对2个项目开展了绩效监控，年终执行完毕后，对2个项目开展了绩效目标完成情况梳理填报。</w:t>
      </w:r>
      <w:r>
        <w:rPr>
          <w:rFonts w:hint="eastAsia" w:ascii="仿宋" w:hAnsi="仿宋" w:eastAsia="仿宋" w:cs="仿宋_GB2312"/>
          <w:b/>
          <w:sz w:val="28"/>
          <w:szCs w:val="28"/>
        </w:rPr>
        <w:t>2021年特定目标类单位预算项目绩效目标自评表见附件（第四部分）</w:t>
      </w:r>
    </w:p>
    <w:p>
      <w:pPr>
        <w:adjustRightInd w:val="0"/>
        <w:snapToGrid w:val="0"/>
        <w:spacing w:line="560" w:lineRule="exact"/>
        <w:ind w:firstLine="720"/>
        <w:rPr>
          <w:rFonts w:ascii="仿宋" w:hAnsi="仿宋" w:eastAsia="仿宋" w:cs="仿宋"/>
          <w:sz w:val="32"/>
          <w:szCs w:val="32"/>
          <w:shd w:val="clear" w:color="auto" w:fill="FFFFFF"/>
        </w:rPr>
      </w:pPr>
      <w:r>
        <w:rPr>
          <w:rFonts w:hint="eastAsia" w:ascii="仿宋" w:hAnsi="仿宋" w:eastAsia="仿宋" w:cs="仿宋"/>
          <w:sz w:val="32"/>
          <w:szCs w:val="32"/>
        </w:rPr>
        <w:t>本单位按要求对2021年单位整体支出开展绩效自评，从评价情况来看</w:t>
      </w:r>
      <w:r>
        <w:t>，</w:t>
      </w:r>
      <w:r>
        <w:rPr>
          <w:rFonts w:hint="eastAsia" w:ascii="仿宋" w:hAnsi="仿宋" w:eastAsia="仿宋" w:cs="仿宋"/>
          <w:kern w:val="0"/>
          <w:sz w:val="32"/>
          <w:szCs w:val="32"/>
        </w:rPr>
        <w:t>本单位制定了内部控制建设规划方案和各项业务制度以及业务流程，制定了《单位财务管理制度》《出纳岗位职责》《会计岗位职责》，对会计和出纳的职业素养、工作要求作出明确规定；制定了《通江县铁溪中心卫生院固定资产管理办法》，对资产的配置、处置、管理和清查进行了规范。制定了《通江县铁溪中心卫生院专项资金管理制度》，严格执行会议费、差旅费、培训费、公务接待费相关规定，明确了相应原则和要求、开支范围、程序、办法及标准、审批权限等。上述制度规定基本得到执行。本单位对</w:t>
      </w:r>
      <w:r>
        <w:rPr>
          <w:rFonts w:hint="eastAsia" w:ascii="仿宋" w:hAnsi="仿宋" w:eastAsia="仿宋" w:cs="仿宋"/>
          <w:sz w:val="32"/>
          <w:szCs w:val="32"/>
        </w:rPr>
        <w:t>4个项目开展了绩效评价，从评价情况来看：</w:t>
      </w:r>
      <w:r>
        <w:rPr>
          <w:rFonts w:hint="eastAsia" w:ascii="仿宋" w:hAnsi="仿宋" w:eastAsia="仿宋" w:cs="仿宋"/>
          <w:b/>
          <w:sz w:val="32"/>
          <w:szCs w:val="32"/>
          <w:shd w:val="clear" w:color="auto" w:fill="FFFFFF"/>
        </w:rPr>
        <w:t>一是</w:t>
      </w:r>
      <w:r>
        <w:rPr>
          <w:rFonts w:hint="eastAsia" w:ascii="仿宋" w:hAnsi="仿宋" w:eastAsia="仿宋" w:cs="仿宋"/>
          <w:sz w:val="32"/>
          <w:szCs w:val="32"/>
        </w:rPr>
        <w:t>通过驻村帮扶项目的实施，让脱贫户进一步了解脱贫致富帮扶政策，改善了生产生活条件和居住环境，按时完成脱贫攻坚各项目标任务。</w:t>
      </w:r>
      <w:r>
        <w:rPr>
          <w:rFonts w:hint="eastAsia" w:ascii="仿宋" w:hAnsi="仿宋" w:eastAsia="仿宋" w:cs="仿宋"/>
          <w:sz w:val="32"/>
          <w:szCs w:val="32"/>
          <w:lang w:val="zh-CN"/>
        </w:rPr>
        <w:t>受到了当地脱贫户的普遍好评。</w:t>
      </w:r>
      <w:r>
        <w:rPr>
          <w:rFonts w:hint="eastAsia" w:ascii="仿宋" w:hAnsi="仿宋" w:eastAsia="仿宋" w:cs="仿宋"/>
          <w:b/>
          <w:sz w:val="32"/>
          <w:szCs w:val="32"/>
          <w:lang w:val="zh-CN"/>
        </w:rPr>
        <w:t>二是</w:t>
      </w:r>
      <w:r>
        <w:rPr>
          <w:rFonts w:hint="eastAsia" w:ascii="仿宋" w:hAnsi="仿宋" w:eastAsia="仿宋" w:cs="仿宋"/>
          <w:bCs/>
          <w:sz w:val="32"/>
          <w:szCs w:val="32"/>
          <w:lang w:val="zh-CN"/>
        </w:rPr>
        <w:t>基本公共卫生服务工作严格按照方案落实了基本公共卫生服务的各项工作</w:t>
      </w:r>
      <w:r>
        <w:rPr>
          <w:rFonts w:hint="eastAsia" w:ascii="仿宋" w:hAnsi="仿宋" w:eastAsia="仿宋" w:cs="仿宋"/>
          <w:sz w:val="32"/>
          <w:szCs w:val="32"/>
          <w:lang w:val="zh-CN"/>
        </w:rPr>
        <w:t>，受到了患者的普遍好评，满意度达95%以上，取得了较好的社会效益。</w:t>
      </w:r>
      <w:r>
        <w:rPr>
          <w:rFonts w:hint="eastAsia" w:ascii="仿宋" w:hAnsi="仿宋" w:eastAsia="仿宋" w:cs="仿宋"/>
          <w:sz w:val="32"/>
          <w:szCs w:val="32"/>
          <w:u w:val="thick" w:color="FFB03A"/>
          <w:shd w:val="clear" w:fill="FFEFD8"/>
          <w:lang w:val="zh-CN"/>
        </w:rPr>
        <w:t>三是</w:t>
      </w:r>
      <w:r>
        <w:rPr>
          <w:rFonts w:hint="eastAsia" w:ascii="仿宋" w:hAnsi="仿宋" w:eastAsia="仿宋" w:cs="仿宋"/>
          <w:sz w:val="32"/>
          <w:szCs w:val="32"/>
          <w:lang w:val="zh-CN"/>
        </w:rPr>
        <w:t>基药补助的落实，严格按照药品零差价销售，在药品价格上老百姓得到了真正的廉价药品，让老百姓得到了实惠，四是村卫生室定额补助的实施，让乡村医生放心工作。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1.项目绩效目标完成情况。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铁溪中心卫生院在2021年度部门决算中反映项目共计4个，一是基本公共卫生项目，二是驻村帮扶项目。</w:t>
      </w:r>
      <w:bookmarkStart w:id="163" w:name="_GoBack"/>
      <w:r>
        <w:rPr>
          <w:rFonts w:hint="eastAsia" w:ascii="仿宋" w:hAnsi="仿宋" w:eastAsia="仿宋" w:cs="仿宋"/>
          <w:sz w:val="32"/>
          <w:szCs w:val="32"/>
          <w:u w:val="thick" w:color="FFB03A"/>
          <w:shd w:val="clear" w:fill="FFEFD8"/>
        </w:rPr>
        <w:t>三是</w:t>
      </w:r>
      <w:bookmarkEnd w:id="163"/>
      <w:r>
        <w:rPr>
          <w:rFonts w:hint="eastAsia" w:ascii="仿宋" w:hAnsi="仿宋" w:eastAsia="仿宋" w:cs="仿宋"/>
          <w:sz w:val="32"/>
          <w:szCs w:val="32"/>
        </w:rPr>
        <w:t>基药补助项目，四是村卫生室定额补助项目，现将4个项目绩效目标的完成情况作如下综述。</w:t>
      </w:r>
    </w:p>
    <w:p>
      <w:pPr>
        <w:adjustRightInd w:val="0"/>
        <w:snapToGrid w:val="0"/>
        <w:spacing w:line="560" w:lineRule="exact"/>
        <w:ind w:firstLine="643" w:firstLineChars="200"/>
        <w:rPr>
          <w:rFonts w:ascii="仿宋" w:hAnsi="仿宋" w:eastAsia="仿宋" w:cs="仿宋"/>
          <w:sz w:val="32"/>
          <w:szCs w:val="32"/>
          <w:lang w:val="zh-CN"/>
        </w:rPr>
      </w:pPr>
      <w:r>
        <w:rPr>
          <w:rFonts w:hint="eastAsia" w:ascii="仿宋" w:hAnsi="仿宋" w:eastAsia="仿宋" w:cs="仿宋"/>
          <w:b/>
          <w:sz w:val="32"/>
          <w:szCs w:val="32"/>
        </w:rPr>
        <w:t>﹙1﹚基本公共卫生项目绩效目标完成情况综述。</w:t>
      </w:r>
      <w:r>
        <w:rPr>
          <w:rFonts w:hint="eastAsia" w:ascii="仿宋" w:hAnsi="仿宋" w:eastAsia="仿宋" w:cs="仿宋"/>
          <w:sz w:val="32"/>
          <w:szCs w:val="32"/>
        </w:rPr>
        <w:t>项目资金用于基本公共卫生服务的各项工作，</w:t>
      </w:r>
      <w:r>
        <w:rPr>
          <w:rFonts w:hint="eastAsia" w:ascii="仿宋" w:hAnsi="仿宋" w:eastAsia="仿宋" w:cs="仿宋"/>
          <w:sz w:val="32"/>
          <w:szCs w:val="32"/>
          <w:lang w:val="zh-CN"/>
        </w:rPr>
        <w:t>受到了老百姓的好评，满意度达95%以上，取得了较好的社会效益。</w:t>
      </w:r>
    </w:p>
    <w:p>
      <w:pPr>
        <w:snapToGrid w:val="0"/>
        <w:spacing w:beforeLines="50" w:afterLines="50" w:line="595" w:lineRule="exact"/>
        <w:ind w:firstLine="643" w:firstLineChars="200"/>
        <w:rPr>
          <w:rFonts w:ascii="仿宋" w:hAnsi="仿宋" w:eastAsia="仿宋" w:cs="仿宋"/>
          <w:sz w:val="32"/>
          <w:szCs w:val="32"/>
        </w:rPr>
      </w:pPr>
      <w:r>
        <w:rPr>
          <w:rFonts w:hint="eastAsia" w:ascii="仿宋" w:hAnsi="仿宋" w:eastAsia="仿宋" w:cs="仿宋"/>
          <w:b/>
          <w:sz w:val="32"/>
          <w:szCs w:val="32"/>
        </w:rPr>
        <w:t>﹙2﹚驻村帮扶项目绩效目标完成情况综述</w:t>
      </w:r>
    </w:p>
    <w:p>
      <w:pPr>
        <w:adjustRightInd w:val="0"/>
        <w:snapToGrid w:val="0"/>
        <w:spacing w:line="560" w:lineRule="exact"/>
        <w:ind w:firstLine="640" w:firstLineChars="200"/>
        <w:rPr>
          <w:rFonts w:ascii="仿宋_GB2312" w:eastAsia="仿宋_GB2312"/>
          <w:b/>
          <w:sz w:val="28"/>
          <w:szCs w:val="28"/>
          <w:shd w:val="clear" w:color="auto" w:fill="FFFFFF"/>
        </w:rPr>
      </w:pPr>
      <w:r>
        <w:rPr>
          <w:rFonts w:hint="eastAsia" w:ascii="仿宋" w:hAnsi="仿宋" w:eastAsia="仿宋" w:cs="仿宋"/>
          <w:sz w:val="32"/>
          <w:szCs w:val="32"/>
        </w:rPr>
        <w:t>2021年，我院分别对铁溪镇罗村、田竹原村、田坝村等实行了对口帮扶工作，分别派驻了驻村工作干部1名，帮扶精准扶贫户45户，驻村队员每个月至少22天蹲点驻村，分别对精准扶贫政策进行了宣讲，特别是健康扶贫政策讲解，深入到村民家中，与帮扶对象谈心谈话、同吃同劳动，了解和解决村民的难点问题。通过驻村帮扶，让贫困户了解脱贫致富帮扶政策，改善了生产生活条件和居住环境，按时完成了脱贫攻坚各项目标任务，绩效目标完成率100%。</w:t>
      </w:r>
      <w:r>
        <w:rPr>
          <w:rFonts w:hint="eastAsia" w:ascii="仿宋" w:hAnsi="仿宋" w:eastAsia="仿宋" w:cs="仿宋"/>
          <w:sz w:val="32"/>
          <w:szCs w:val="32"/>
          <w:lang w:val="zh-CN"/>
        </w:rPr>
        <w:t>脱贫户满意度达95%以上，取得了较好的社会效益。</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2.开展绩效评价结果。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本单位按要求对2021年部门整体支出绩效评价情况开展自评，同时对基本公共卫生和扶贫工作经费等4个项目开展绩效评价。</w:t>
      </w:r>
    </w:p>
    <w:p>
      <w:pPr>
        <w:widowControl/>
        <w:jc w:val="left"/>
        <w:rPr>
          <w:rFonts w:ascii="仿宋_GB2312" w:eastAsia="仿宋_GB2312"/>
          <w:b/>
          <w:sz w:val="32"/>
          <w:szCs w:val="32"/>
        </w:rPr>
      </w:pPr>
    </w:p>
    <w:p>
      <w:pPr>
        <w:numPr>
          <w:ilvl w:val="0"/>
          <w:numId w:val="3"/>
        </w:numPr>
        <w:spacing w:line="600" w:lineRule="exact"/>
        <w:ind w:firstLine="660" w:firstLineChars="150"/>
        <w:jc w:val="center"/>
        <w:outlineLvl w:val="0"/>
        <w:rPr>
          <w:rStyle w:val="27"/>
          <w:rFonts w:ascii="黑体" w:hAnsi="黑体" w:eastAsia="黑体"/>
          <w:b w:val="0"/>
        </w:rPr>
      </w:pPr>
      <w:bookmarkStart w:id="106" w:name="_Toc26040"/>
      <w:bookmarkStart w:id="107" w:name="_Toc3808"/>
      <w:bookmarkStart w:id="108" w:name="_Toc15377225"/>
      <w:bookmarkStart w:id="109" w:name="_Toc15396613"/>
      <w:r>
        <w:rPr>
          <w:rFonts w:hint="eastAsia" w:ascii="黑体" w:hAnsi="黑体" w:eastAsia="黑体"/>
          <w:sz w:val="44"/>
          <w:szCs w:val="44"/>
        </w:rPr>
        <w:t>名</w:t>
      </w:r>
      <w:r>
        <w:rPr>
          <w:rStyle w:val="27"/>
          <w:rFonts w:hint="eastAsia" w:ascii="黑体" w:hAnsi="黑体" w:eastAsia="黑体"/>
          <w:b w:val="0"/>
        </w:rPr>
        <w:t>词解释</w:t>
      </w:r>
      <w:bookmarkEnd w:id="106"/>
      <w:bookmarkEnd w:id="107"/>
      <w:bookmarkEnd w:id="108"/>
      <w:bookmarkEnd w:id="109"/>
    </w:p>
    <w:p>
      <w:pPr>
        <w:spacing w:line="600" w:lineRule="exact"/>
        <w:jc w:val="left"/>
        <w:rPr>
          <w:rFonts w:ascii="宋体"/>
          <w:b/>
          <w:sz w:val="44"/>
          <w:szCs w:val="44"/>
        </w:rPr>
      </w:pPr>
    </w:p>
    <w:p>
      <w:pPr>
        <w:pStyle w:val="25"/>
        <w:spacing w:line="560" w:lineRule="exact"/>
        <w:ind w:firstLine="640" w:firstLineChars="200"/>
        <w:outlineLvl w:val="1"/>
        <w:rPr>
          <w:rFonts w:hAnsi="仿宋"/>
          <w:sz w:val="32"/>
          <w:szCs w:val="32"/>
        </w:rPr>
      </w:pPr>
      <w:bookmarkStart w:id="110" w:name="_Toc27110"/>
      <w:bookmarkStart w:id="111" w:name="_Toc15843"/>
      <w:bookmarkStart w:id="112" w:name="_Toc19371"/>
      <w:r>
        <w:rPr>
          <w:rFonts w:hint="eastAsia" w:hAnsi="仿宋"/>
          <w:sz w:val="32"/>
          <w:szCs w:val="32"/>
        </w:rPr>
        <w:t>1.财政拨款收入：指单位从同级财政部门取得的财政预算资金。</w:t>
      </w:r>
      <w:bookmarkEnd w:id="110"/>
      <w:bookmarkEnd w:id="111"/>
      <w:bookmarkEnd w:id="112"/>
    </w:p>
    <w:p>
      <w:pPr>
        <w:pStyle w:val="25"/>
        <w:spacing w:line="560" w:lineRule="exact"/>
        <w:ind w:firstLine="640" w:firstLineChars="200"/>
        <w:rPr>
          <w:rFonts w:hAnsi="仿宋"/>
          <w:sz w:val="32"/>
          <w:szCs w:val="32"/>
        </w:rPr>
      </w:pPr>
      <w:r>
        <w:rPr>
          <w:rFonts w:hint="eastAsia" w:hAnsi="仿宋"/>
          <w:sz w:val="32"/>
          <w:szCs w:val="32"/>
        </w:rPr>
        <w:t>2.事业收入：指事业单位开展专业业务活动及辅助活动取得的收入。</w:t>
      </w:r>
    </w:p>
    <w:p>
      <w:pPr>
        <w:pStyle w:val="25"/>
        <w:spacing w:line="560" w:lineRule="exact"/>
        <w:ind w:firstLine="640" w:firstLineChars="200"/>
        <w:rPr>
          <w:rFonts w:hAnsi="仿宋"/>
          <w:sz w:val="32"/>
          <w:szCs w:val="32"/>
        </w:rPr>
      </w:pPr>
      <w:r>
        <w:rPr>
          <w:rFonts w:hint="eastAsia" w:hAnsi="仿宋"/>
          <w:sz w:val="32"/>
          <w:szCs w:val="32"/>
        </w:rPr>
        <w:t>3.经营收入：指事业单位在专业业务活动及其辅助活动之外开展非独立核算经营活动取得的收入。</w:t>
      </w:r>
    </w:p>
    <w:p>
      <w:pPr>
        <w:pStyle w:val="25"/>
        <w:spacing w:line="560" w:lineRule="exact"/>
        <w:ind w:firstLine="640" w:firstLineChars="200"/>
        <w:rPr>
          <w:rFonts w:hAnsi="仿宋"/>
          <w:sz w:val="32"/>
          <w:szCs w:val="32"/>
        </w:rPr>
      </w:pPr>
      <w:r>
        <w:rPr>
          <w:rFonts w:hint="eastAsia" w:hAnsi="仿宋"/>
          <w:sz w:val="32"/>
          <w:szCs w:val="32"/>
        </w:rPr>
        <w:t>4.其他收入：指单位取得的除上述收入以外的各项收入。</w:t>
      </w:r>
    </w:p>
    <w:p>
      <w:pPr>
        <w:pStyle w:val="25"/>
        <w:spacing w:line="560" w:lineRule="exact"/>
        <w:ind w:firstLine="640" w:firstLineChars="200"/>
        <w:rPr>
          <w:rFonts w:hAnsi="仿宋"/>
          <w:sz w:val="32"/>
          <w:szCs w:val="32"/>
        </w:rPr>
      </w:pPr>
      <w:r>
        <w:rPr>
          <w:rFonts w:hint="eastAsia" w:hAnsi="仿宋"/>
          <w:sz w:val="32"/>
          <w:szCs w:val="32"/>
        </w:rPr>
        <w:t>5.使用非财政拨款结余：指事业单位使用以前年度积累的非财政拨款结余弥补当年收支差额的金额。</w:t>
      </w:r>
    </w:p>
    <w:p>
      <w:pPr>
        <w:pStyle w:val="25"/>
        <w:spacing w:line="560" w:lineRule="exact"/>
        <w:ind w:firstLine="640" w:firstLineChars="200"/>
        <w:rPr>
          <w:rFonts w:hAnsi="仿宋"/>
          <w:sz w:val="32"/>
          <w:szCs w:val="32"/>
        </w:rPr>
      </w:pPr>
      <w:r>
        <w:rPr>
          <w:rFonts w:hint="eastAsia" w:hAnsi="仿宋"/>
          <w:sz w:val="32"/>
          <w:szCs w:val="32"/>
        </w:rPr>
        <w:t>6.年初结转和结余：指以前年度尚未完成、结转到</w:t>
      </w:r>
      <w:r>
        <w:rPr>
          <w:rFonts w:hint="eastAsia" w:hAnsi="仿宋"/>
          <w:sz w:val="32"/>
          <w:szCs w:val="32"/>
          <w:u w:val="none" w:color="46CD7E"/>
          <w:shd w:val="clear" w:fill="auto"/>
          <w:lang w:eastAsia="zh-CN"/>
        </w:rPr>
        <w:t>本年度</w:t>
      </w:r>
      <w:r>
        <w:rPr>
          <w:rFonts w:hint="eastAsia" w:hAnsi="仿宋"/>
          <w:sz w:val="32"/>
          <w:szCs w:val="32"/>
        </w:rPr>
        <w:t>有关规定继续使用的资金。</w:t>
      </w:r>
    </w:p>
    <w:p>
      <w:pPr>
        <w:pStyle w:val="25"/>
        <w:spacing w:line="560" w:lineRule="exact"/>
        <w:ind w:firstLine="640" w:firstLineChars="200"/>
        <w:rPr>
          <w:rFonts w:hAnsi="仿宋"/>
          <w:sz w:val="32"/>
          <w:szCs w:val="32"/>
        </w:rPr>
      </w:pPr>
      <w:r>
        <w:rPr>
          <w:rFonts w:hint="eastAsia" w:hAnsi="仿宋"/>
          <w:sz w:val="32"/>
          <w:szCs w:val="32"/>
        </w:rPr>
        <w:t>7.结余分配：指事业单位按照会计制度规定缴纳的所得税、提取的专用结余以及转入非财政拨款结余的金额等。</w:t>
      </w:r>
    </w:p>
    <w:p>
      <w:pPr>
        <w:pStyle w:val="25"/>
        <w:spacing w:line="560" w:lineRule="exact"/>
        <w:ind w:firstLine="640" w:firstLineChars="200"/>
        <w:rPr>
          <w:rFonts w:hAnsi="仿宋"/>
          <w:sz w:val="32"/>
          <w:szCs w:val="32"/>
        </w:rPr>
      </w:pPr>
      <w:r>
        <w:rPr>
          <w:rFonts w:hint="eastAsia" w:hAnsi="仿宋"/>
          <w:sz w:val="32"/>
          <w:szCs w:val="32"/>
        </w:rPr>
        <w:t>8</w:t>
      </w:r>
      <w:r>
        <w:rPr>
          <w:rFonts w:hint="eastAsia" w:hAnsi="仿宋"/>
          <w:sz w:val="32"/>
          <w:szCs w:val="32"/>
          <w:u w:val="none" w:color="46CD7E"/>
          <w:shd w:val="clear" w:fill="auto"/>
          <w:lang w:eastAsia="zh-CN"/>
        </w:rPr>
        <w:t>.</w:t>
      </w:r>
      <w:r>
        <w:rPr>
          <w:rFonts w:hint="eastAsia" w:hAnsi="仿宋"/>
          <w:sz w:val="32"/>
          <w:szCs w:val="32"/>
        </w:rPr>
        <w:t>年末结转和结余：指单位按有关规定结转到下年或以后年度继续使用的资金。</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u w:val="none" w:color="46CD7E"/>
          <w:shd w:val="clear" w:fill="auto"/>
        </w:rPr>
        <w:t>9.</w:t>
      </w:r>
      <w:r>
        <w:rPr>
          <w:rFonts w:hint="eastAsia" w:ascii="仿宋" w:hAnsi="仿宋" w:eastAsia="仿宋" w:cs="仿宋"/>
          <w:color w:val="000000"/>
          <w:sz w:val="32"/>
          <w:szCs w:val="32"/>
        </w:rPr>
        <w:t>一般公共服务（类）人力资源事务（款）引进人才费用（项）：指反映用于引进外国专家补助、引智成果推广等方面的支出。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10.教育（类）职业教育（款）中专教育（项）:指各部门举办的各类中等专业学校的支出。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11.社会保障和就业（类）行政事业单位离退休（款）机关事业单位基本养老保险缴费支出（项）:指机关事业单位实施养老保险制度由单位缴纳的基本养老保险支出。</w:t>
      </w:r>
    </w:p>
    <w:p>
      <w:pPr>
        <w:pStyle w:val="25"/>
        <w:spacing w:line="560" w:lineRule="exact"/>
        <w:ind w:firstLine="640" w:firstLineChars="200"/>
        <w:rPr>
          <w:rFonts w:hAnsi="仿宋"/>
          <w:color w:val="auto"/>
          <w:sz w:val="32"/>
          <w:szCs w:val="32"/>
        </w:rPr>
      </w:pPr>
      <w:r>
        <w:rPr>
          <w:rFonts w:hint="eastAsia" w:hAnsi="仿宋"/>
          <w:color w:val="auto"/>
          <w:sz w:val="32"/>
          <w:szCs w:val="32"/>
        </w:rPr>
        <w:t>12.卫生健康支出（类）卫生健康管理事务（款）行政运行（项）:指行政单位（包括实行公务员管理的事业单位）的基本支出。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13.卫生健康支出（类）卫生健康管理事务（款）一般行政管理事务（项）:指行政单位（包括实行公务员管理的事业单位）未单独设置项级科目的其他支出。</w:t>
      </w:r>
    </w:p>
    <w:p>
      <w:pPr>
        <w:pStyle w:val="25"/>
        <w:spacing w:line="560" w:lineRule="exact"/>
        <w:ind w:firstLine="640" w:firstLineChars="200"/>
        <w:rPr>
          <w:rFonts w:hAnsi="仿宋"/>
          <w:color w:val="auto"/>
          <w:sz w:val="32"/>
          <w:szCs w:val="32"/>
        </w:rPr>
      </w:pPr>
      <w:r>
        <w:rPr>
          <w:rFonts w:hint="eastAsia" w:hAnsi="仿宋"/>
          <w:color w:val="auto"/>
          <w:sz w:val="32"/>
          <w:szCs w:val="32"/>
        </w:rPr>
        <w:t>14.卫生健康支出（类）卫生健康管理事务（款）其他卫生健康管理事务支出（项）:指其他用于卫生健康管理事务方面的支出。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15.卫生健康支出（类）公立医院（款）综合医院（项）:指卫生健康、中医部门所属的城市综合性医院、独立门诊、教学医院、疗养院和县医院的支出。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16.卫生健康支出（类）公立医院（款）中医（民族）医院（项）:指卫生健康、中医部门所属的中医院、中西医结合医院、民族医院的支出。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17.卫生健康支出（类）公立医院（款）传染病医院（项）:指卫生健康、中医部门所属的专门收治各类传染病人的支出。</w:t>
      </w:r>
    </w:p>
    <w:p>
      <w:pPr>
        <w:pStyle w:val="25"/>
        <w:spacing w:line="560" w:lineRule="exact"/>
        <w:ind w:firstLine="640" w:firstLineChars="200"/>
        <w:rPr>
          <w:rFonts w:hAnsi="仿宋"/>
          <w:color w:val="auto"/>
          <w:sz w:val="32"/>
          <w:szCs w:val="32"/>
        </w:rPr>
      </w:pPr>
      <w:r>
        <w:rPr>
          <w:rFonts w:hint="eastAsia" w:hAnsi="仿宋"/>
          <w:color w:val="auto"/>
          <w:sz w:val="32"/>
          <w:szCs w:val="32"/>
        </w:rPr>
        <w:t>18.卫生健康支出（类）公立医院（款）其他公立医院支出（项）:指其他用于公立医院方面的支出。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19.卫生健康支出（类）基层医疗卫生机构（款）乡镇卫生院（项）：反映用于乡镇卫生院的支出。</w:t>
      </w:r>
    </w:p>
    <w:p>
      <w:pPr>
        <w:pStyle w:val="25"/>
        <w:spacing w:line="560" w:lineRule="exact"/>
        <w:ind w:firstLine="640" w:firstLineChars="200"/>
        <w:rPr>
          <w:rFonts w:hAnsi="仿宋"/>
          <w:color w:val="auto"/>
          <w:sz w:val="32"/>
          <w:szCs w:val="32"/>
        </w:rPr>
      </w:pPr>
      <w:r>
        <w:rPr>
          <w:rFonts w:hint="eastAsia" w:hAnsi="仿宋"/>
          <w:color w:val="auto"/>
          <w:sz w:val="32"/>
          <w:szCs w:val="32"/>
        </w:rPr>
        <w:t>20.卫生健康支出（类）基层医疗卫生机构（款）其他基层医疗卫生机构（项）：指用于村卫生室方面的支出。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21.卫生健康支出（类）公共卫生（款）疾病预防控制机构（项）:指卫生健康部门所属疾病预防控制机构的支出。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22.卫生健康支出（类）公共卫生（款）卫生监督机构（项）:指卫生健康部门所属卫生监督机构的支出。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23.卫生健康支出（类）公共卫生（款）妇幼保健机构（项）:指卫生健康部门所属妇幼保健机构的支出。</w:t>
      </w:r>
    </w:p>
    <w:p>
      <w:pPr>
        <w:pStyle w:val="25"/>
        <w:spacing w:line="560" w:lineRule="exact"/>
        <w:ind w:firstLine="640" w:firstLineChars="200"/>
        <w:rPr>
          <w:rFonts w:hAnsi="仿宋"/>
          <w:color w:val="auto"/>
          <w:sz w:val="32"/>
          <w:szCs w:val="32"/>
        </w:rPr>
      </w:pPr>
      <w:r>
        <w:rPr>
          <w:rFonts w:hint="eastAsia" w:hAnsi="仿宋"/>
          <w:color w:val="auto"/>
          <w:sz w:val="32"/>
          <w:szCs w:val="32"/>
        </w:rPr>
        <w:t>24.卫生健康支出（类）公共卫生（款）基本公共卫生服务（项）:指用于基本公共卫生服务支出。</w:t>
      </w:r>
    </w:p>
    <w:p>
      <w:pPr>
        <w:pStyle w:val="25"/>
        <w:spacing w:line="560" w:lineRule="exact"/>
        <w:ind w:firstLine="640" w:firstLineChars="200"/>
        <w:rPr>
          <w:rFonts w:hAnsi="仿宋"/>
          <w:color w:val="auto"/>
          <w:sz w:val="32"/>
          <w:szCs w:val="32"/>
        </w:rPr>
      </w:pPr>
      <w:r>
        <w:rPr>
          <w:rFonts w:hint="eastAsia" w:hAnsi="仿宋"/>
          <w:color w:val="auto"/>
          <w:sz w:val="32"/>
          <w:szCs w:val="32"/>
        </w:rPr>
        <w:t>25.卫生健康支出（类）公共卫生（款）重大公共卫生专项（项）:指重大疾病、重大传染病预防控制等重大公共卫生服务支出。</w:t>
      </w:r>
    </w:p>
    <w:p>
      <w:pPr>
        <w:pStyle w:val="25"/>
        <w:spacing w:line="560" w:lineRule="exact"/>
        <w:ind w:firstLine="640" w:firstLineChars="200"/>
        <w:rPr>
          <w:rFonts w:hAnsi="仿宋"/>
          <w:color w:val="auto"/>
          <w:sz w:val="32"/>
          <w:szCs w:val="32"/>
        </w:rPr>
      </w:pPr>
      <w:r>
        <w:rPr>
          <w:rFonts w:hint="eastAsia" w:hAnsi="仿宋"/>
          <w:color w:val="auto"/>
          <w:sz w:val="32"/>
          <w:szCs w:val="32"/>
        </w:rPr>
        <w:t>26.卫生健康支出（类）公共卫生（款）其他公共卫生支出（项）:指其他用于公共卫生方面的支出。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27.卫生健康支出（类）中医药（款）中医（民族医）药专项（项）:指中医（民族医）药方面的专项支出。</w:t>
      </w:r>
    </w:p>
    <w:p>
      <w:pPr>
        <w:pStyle w:val="25"/>
        <w:spacing w:line="560" w:lineRule="exact"/>
        <w:ind w:firstLine="640" w:firstLineChars="200"/>
        <w:rPr>
          <w:rFonts w:hAnsi="仿宋"/>
          <w:color w:val="auto"/>
          <w:sz w:val="32"/>
          <w:szCs w:val="32"/>
        </w:rPr>
      </w:pPr>
      <w:r>
        <w:rPr>
          <w:rFonts w:hint="eastAsia" w:hAnsi="仿宋"/>
          <w:color w:val="auto"/>
          <w:sz w:val="32"/>
          <w:szCs w:val="32"/>
        </w:rPr>
        <w:t>28.卫生健康支出（类）计划生育服务（款）计划生育服务（项）:指计划生育服务支出。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29.卫生健康支出（类）计划生育事务（款）其他计划生育事务支出（项）:指其他用于计划生育管理事务方面的支出。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30.卫生健康支出（类）食品和药品监督管理事务（款）行政运行（项）:指行政单位（包括实行公务员管理的事业单位）的基本支出。</w:t>
      </w:r>
    </w:p>
    <w:p>
      <w:pPr>
        <w:pStyle w:val="25"/>
        <w:spacing w:line="560" w:lineRule="exact"/>
        <w:ind w:firstLine="640" w:firstLineChars="200"/>
        <w:rPr>
          <w:rFonts w:hAnsi="仿宋"/>
          <w:color w:val="auto"/>
          <w:sz w:val="32"/>
          <w:szCs w:val="32"/>
        </w:rPr>
      </w:pPr>
      <w:r>
        <w:rPr>
          <w:rFonts w:hint="eastAsia" w:hAnsi="仿宋"/>
          <w:color w:val="auto"/>
          <w:sz w:val="32"/>
          <w:szCs w:val="32"/>
        </w:rPr>
        <w:t>31.卫生健康支出（类）行政事业单位医疗（款）行政单位医疗（项）:指财政部门集中安排的行政单位医疗保险缴费经费，未参加医疗保险的行政单位的公费医疗经费，按国家规定享受离休人员、红军老战士待遇人员的医疗经费。</w:t>
      </w:r>
    </w:p>
    <w:p>
      <w:pPr>
        <w:pStyle w:val="25"/>
        <w:spacing w:line="560" w:lineRule="exact"/>
        <w:ind w:firstLine="640" w:firstLineChars="200"/>
        <w:rPr>
          <w:rFonts w:hAnsi="仿宋"/>
          <w:color w:val="auto"/>
          <w:sz w:val="32"/>
          <w:szCs w:val="32"/>
        </w:rPr>
      </w:pPr>
      <w:r>
        <w:rPr>
          <w:rFonts w:hint="eastAsia" w:hAnsi="仿宋"/>
          <w:color w:val="auto"/>
          <w:sz w:val="32"/>
          <w:szCs w:val="32"/>
        </w:rPr>
        <w:t>32.卫生健康支出（类）行政事业单位医疗（款）事业单位医疗（项）:指财政部门集中安排的事业单位医疗保险缴费经费，未参加医疗保险的事业单位的公费医疗经费，按国家规定享受离休人员待遇的医疗经费。</w:t>
      </w:r>
    </w:p>
    <w:p>
      <w:pPr>
        <w:pStyle w:val="25"/>
        <w:spacing w:line="560" w:lineRule="exact"/>
        <w:ind w:firstLine="640" w:firstLineChars="200"/>
        <w:rPr>
          <w:rFonts w:hAnsi="仿宋"/>
          <w:color w:val="auto"/>
          <w:sz w:val="32"/>
          <w:szCs w:val="32"/>
        </w:rPr>
      </w:pPr>
      <w:r>
        <w:rPr>
          <w:rFonts w:hint="eastAsia" w:hAnsi="仿宋"/>
          <w:color w:val="auto"/>
          <w:sz w:val="32"/>
          <w:szCs w:val="32"/>
        </w:rPr>
        <w:t>33.卫生健康支出（类）行政事业单位医疗（款）其他行政事业单位医疗支出（项）:指其他用于行政事业单位医疗方面的支出。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34.卫生健康支出（类）其他医疗卫生与计划生育支出（款）其他医疗卫生与计划生育支出（项）:指其他用于医疗卫生与计划生育方面的支出。</w:t>
      </w:r>
    </w:p>
    <w:p>
      <w:pPr>
        <w:pStyle w:val="25"/>
        <w:spacing w:line="560" w:lineRule="exact"/>
        <w:ind w:firstLine="640" w:firstLineChars="200"/>
        <w:rPr>
          <w:rFonts w:hAnsi="仿宋"/>
          <w:color w:val="auto"/>
          <w:sz w:val="32"/>
          <w:szCs w:val="32"/>
        </w:rPr>
      </w:pPr>
      <w:r>
        <w:rPr>
          <w:rFonts w:hint="eastAsia" w:hAnsi="仿宋"/>
          <w:color w:val="auto"/>
          <w:sz w:val="32"/>
          <w:szCs w:val="32"/>
        </w:rPr>
        <w:t>35.农林水支出（类）扶贫（款）其他扶贫支出（项）:指其他用于扶贫方面的支出。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36.住房保障支出（类）住房改革支出（款）住房公积金（项）:指行政事业单位按人力资源和社会保障部、财政部规定的基本工资和津贴补贴以及规定比例为职工缴纳的住房公积金。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37.基本支出：指为保障机构正常运转、完成日常工作任务而发生的人员支出和公用支出。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38.项目支出：指在基本支出之外为完成特定行政任务和事业发展目标所发生的支出。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39.经营支出：指事业单位在专业业务活动及其辅助活动之外开展非独立核算经营活动发生的支出。</w:t>
      </w:r>
    </w:p>
    <w:p>
      <w:pPr>
        <w:pStyle w:val="25"/>
        <w:spacing w:line="560" w:lineRule="exact"/>
        <w:ind w:firstLine="640" w:firstLineChars="200"/>
        <w:rPr>
          <w:rFonts w:hAnsi="仿宋"/>
          <w:color w:val="auto"/>
          <w:sz w:val="32"/>
          <w:szCs w:val="32"/>
        </w:rPr>
      </w:pPr>
      <w:r>
        <w:rPr>
          <w:rFonts w:hint="eastAsia" w:hAnsi="仿宋"/>
          <w:color w:val="auto"/>
          <w:sz w:val="32"/>
          <w:szCs w:val="32"/>
        </w:rPr>
        <w:t>40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hAnsi="仿宋"/>
          <w:color w:val="auto"/>
          <w:sz w:val="32"/>
          <w:szCs w:val="32"/>
        </w:rPr>
      </w:pPr>
      <w:r>
        <w:rPr>
          <w:rFonts w:hint="eastAsia" w:hAnsi="仿宋"/>
          <w:color w:val="auto"/>
          <w:sz w:val="32"/>
          <w:szCs w:val="32"/>
        </w:rPr>
        <w:t>41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3"/>
        </w:numPr>
        <w:spacing w:line="600" w:lineRule="exact"/>
        <w:ind w:firstLine="315" w:firstLineChars="150"/>
        <w:jc w:val="center"/>
        <w:outlineLvl w:val="0"/>
        <w:rPr>
          <w:rStyle w:val="27"/>
          <w:rFonts w:ascii="黑体" w:hAnsi="黑体" w:eastAsia="黑体"/>
          <w:b w:val="0"/>
        </w:rPr>
      </w:pPr>
      <w:bookmarkStart w:id="113" w:name="_Toc15377226"/>
      <w:r>
        <w:br w:type="page"/>
      </w:r>
      <w:bookmarkStart w:id="114" w:name="_Toc15025"/>
      <w:bookmarkStart w:id="115" w:name="_Toc8721"/>
      <w:bookmarkStart w:id="116" w:name="_Toc15396614"/>
      <w:r>
        <w:rPr>
          <w:rStyle w:val="27"/>
          <w:rFonts w:hint="eastAsia" w:ascii="黑体" w:hAnsi="黑体" w:eastAsia="黑体"/>
          <w:b w:val="0"/>
        </w:rPr>
        <w:t>附件</w:t>
      </w:r>
      <w:bookmarkEnd w:id="114"/>
      <w:bookmarkEnd w:id="115"/>
      <w:bookmarkEnd w:id="116"/>
    </w:p>
    <w:p>
      <w:pPr>
        <w:pStyle w:val="3"/>
        <w:spacing w:before="93"/>
        <w:outlineLvl w:val="1"/>
      </w:pPr>
      <w:bookmarkStart w:id="117" w:name="_Toc15734"/>
      <w:r>
        <w:rPr>
          <w:rStyle w:val="27"/>
          <w:rFonts w:hint="eastAsia" w:ascii="宋体" w:hAnsi="宋体" w:eastAsia="宋体" w:cs="宋体"/>
          <w:b w:val="0"/>
          <w:sz w:val="28"/>
          <w:szCs w:val="28"/>
        </w:rPr>
        <w:t>附件1</w:t>
      </w:r>
      <w:bookmarkEnd w:id="117"/>
    </w:p>
    <w:tbl>
      <w:tblPr>
        <w:tblStyle w:val="5"/>
        <w:tblpPr w:leftFromText="180" w:rightFromText="180" w:vertAnchor="text" w:horzAnchor="page" w:tblpX="1411" w:tblpY="964"/>
        <w:tblOverlap w:val="never"/>
        <w:tblW w:w="9577" w:type="dxa"/>
        <w:tblInd w:w="0" w:type="dxa"/>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bookmarkStart w:id="118" w:name="_Toc32335"/>
            <w:r>
              <w:rPr>
                <w:rFonts w:hint="eastAsia" w:ascii="宋体" w:hAnsi="宋体" w:cs="宋体"/>
                <w:kern w:val="0"/>
                <w:sz w:val="18"/>
                <w:szCs w:val="18"/>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18"/>
                <w:szCs w:val="18"/>
              </w:rPr>
            </w:pPr>
            <w:r>
              <w:rPr>
                <w:rFonts w:hint="eastAsia" w:ascii="宋体" w:hAnsi="宋体" w:cs="宋体"/>
                <w:sz w:val="18"/>
                <w:szCs w:val="18"/>
              </w:rPr>
              <w:t>通江县卫生健康局558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color w:val="000000"/>
                <w:kern w:val="0"/>
                <w:sz w:val="18"/>
                <w:szCs w:val="18"/>
              </w:rPr>
              <w:t>通江县铁溪中心卫生院</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项目预算执行情况（万元）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293.24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sz w:val="18"/>
                <w:szCs w:val="18"/>
              </w:rPr>
              <w:t>293.24</w:t>
            </w:r>
          </w:p>
        </w:tc>
      </w:tr>
      <w:tr>
        <w:tblPrEx>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sz w:val="18"/>
                <w:szCs w:val="18"/>
              </w:rPr>
              <w:t>293.24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18"/>
                <w:szCs w:val="18"/>
              </w:rPr>
            </w:pPr>
            <w:r>
              <w:rPr>
                <w:rFonts w:hint="eastAsia" w:ascii="宋体" w:hAnsi="宋体" w:cs="宋体"/>
                <w:kern w:val="0"/>
                <w:sz w:val="18"/>
                <w:szCs w:val="18"/>
              </w:rPr>
              <w:t>其中：</w:t>
            </w:r>
          </w:p>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sz w:val="18"/>
                <w:szCs w:val="18"/>
              </w:rPr>
              <w:t>293.24</w:t>
            </w:r>
          </w:p>
        </w:tc>
      </w:tr>
      <w:tr>
        <w:tblPrEx>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18"/>
                <w:szCs w:val="18"/>
              </w:rPr>
            </w:pPr>
            <w:r>
              <w:rPr>
                <w:rFonts w:hint="eastAsia" w:ascii="宋体" w:hAnsi="宋体" w:cs="宋体"/>
                <w:kern w:val="0"/>
                <w:sz w:val="18"/>
                <w:szCs w:val="18"/>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年度总体目标</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目标实际完成情况</w:t>
            </w:r>
          </w:p>
        </w:tc>
      </w:tr>
      <w:tr>
        <w:tblPrEx>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目标1：改善老百姓看病难看病贵的问题</w:t>
            </w:r>
            <w:r>
              <w:t>。</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目标2：提升医疗服务能力</w:t>
            </w:r>
            <w:r>
              <w:t>。</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目标3：实现财政资金全方位、全过程、全覆盖绩效管理，开展绩效监控和绩效评价。</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18"/>
                <w:szCs w:val="18"/>
              </w:rPr>
            </w:pPr>
            <w:r>
              <w:rPr>
                <w:rFonts w:hint="eastAsia" w:ascii="宋体" w:hAnsi="宋体" w:cs="宋体"/>
                <w:color w:val="000000"/>
                <w:kern w:val="0"/>
                <w:sz w:val="18"/>
                <w:szCs w:val="18"/>
              </w:rPr>
              <w:t>1</w:t>
            </w:r>
            <w:r>
              <w:rPr>
                <w:rFonts w:hint="eastAsia" w:ascii="宋体" w:hAnsi="宋体" w:cs="宋体"/>
                <w:color w:val="000000"/>
                <w:kern w:val="0"/>
                <w:sz w:val="18"/>
                <w:szCs w:val="18"/>
                <w:u w:val="none" w:color="46CD7E"/>
                <w:shd w:val="clear" w:fill="auto"/>
                <w:lang w:eastAsia="zh-CN"/>
              </w:rPr>
              <w:t>.</w:t>
            </w:r>
            <w:r>
              <w:rPr>
                <w:rFonts w:hint="eastAsia" w:ascii="宋体" w:hAnsi="宋体" w:cs="宋体"/>
                <w:color w:val="000000"/>
                <w:kern w:val="0"/>
                <w:sz w:val="18"/>
                <w:szCs w:val="18"/>
              </w:rPr>
              <w:t>实行了全部西药、中成药零加成，减轻了老百姓看病贵的负担；2</w:t>
            </w:r>
            <w:r>
              <w:rPr>
                <w:rFonts w:hint="eastAsia" w:ascii="宋体" w:hAnsi="宋体" w:cs="宋体"/>
                <w:color w:val="000000"/>
                <w:kern w:val="0"/>
                <w:sz w:val="18"/>
                <w:szCs w:val="18"/>
                <w:u w:val="none" w:color="46CD7E"/>
                <w:shd w:val="clear" w:fill="auto"/>
                <w:lang w:eastAsia="zh-CN"/>
              </w:rPr>
              <w:t>.</w:t>
            </w:r>
            <w:r>
              <w:rPr>
                <w:rFonts w:hint="eastAsia" w:ascii="宋体" w:hAnsi="宋体" w:cs="宋体"/>
                <w:color w:val="000000"/>
                <w:kern w:val="0"/>
                <w:sz w:val="18"/>
                <w:szCs w:val="18"/>
              </w:rPr>
              <w:t>精准扶贫经费按时按标准发放</w:t>
            </w:r>
            <w:r>
              <w:rPr>
                <w:rFonts w:hint="eastAsia" w:ascii="宋体" w:hAnsi="宋体" w:cs="宋体"/>
                <w:color w:val="000000"/>
                <w:kern w:val="0"/>
                <w:sz w:val="18"/>
                <w:szCs w:val="18"/>
                <w:u w:val="none" w:color="46CD7E"/>
                <w:shd w:val="clear" w:fill="auto"/>
                <w:lang w:eastAsia="zh-CN"/>
              </w:rPr>
              <w:t>给</w:t>
            </w:r>
            <w:r>
              <w:rPr>
                <w:rFonts w:hint="eastAsia" w:ascii="宋体" w:hAnsi="宋体" w:cs="宋体"/>
                <w:color w:val="000000"/>
                <w:kern w:val="0"/>
                <w:sz w:val="18"/>
                <w:szCs w:val="18"/>
              </w:rPr>
              <w:t>驻村工作人员，扶贫工作有序开展；3</w:t>
            </w:r>
            <w:r>
              <w:rPr>
                <w:rFonts w:hint="eastAsia" w:ascii="宋体" w:hAnsi="宋体" w:cs="宋体"/>
                <w:color w:val="000000"/>
                <w:kern w:val="0"/>
                <w:sz w:val="18"/>
                <w:szCs w:val="18"/>
                <w:u w:val="none" w:color="46CD7E"/>
                <w:shd w:val="clear" w:fill="auto"/>
                <w:lang w:eastAsia="zh-CN"/>
              </w:rPr>
              <w:t>.</w:t>
            </w:r>
            <w:r>
              <w:rPr>
                <w:rFonts w:hint="eastAsia" w:ascii="宋体" w:hAnsi="宋体" w:cs="宋体"/>
                <w:color w:val="000000"/>
                <w:kern w:val="0"/>
                <w:sz w:val="18"/>
                <w:szCs w:val="18"/>
              </w:rPr>
              <w:t>顺利完成2020年度基本公共卫生工作，改善了老百姓的就医环境，减轻了老百姓的就医负担，提高了老百姓的满意度。</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一级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二级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18"/>
                <w:szCs w:val="18"/>
              </w:rPr>
            </w:pPr>
            <w:r>
              <w:rPr>
                <w:rFonts w:hint="eastAsia" w:ascii="宋体" w:hAnsi="宋体" w:cs="宋体"/>
                <w:kern w:val="0"/>
                <w:sz w:val="18"/>
                <w:szCs w:val="18"/>
              </w:rPr>
              <w:t>三级</w:t>
            </w:r>
          </w:p>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18"/>
                <w:szCs w:val="18"/>
              </w:rPr>
            </w:pPr>
            <w:r>
              <w:rPr>
                <w:rFonts w:hint="eastAsia" w:ascii="宋体" w:hAnsi="宋体" w:cs="宋体"/>
                <w:kern w:val="0"/>
                <w:sz w:val="18"/>
                <w:szCs w:val="18"/>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完成</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工资福利保障人数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45人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45人</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乡村医生培训次数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≥8次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≥8次</w:t>
            </w:r>
          </w:p>
        </w:tc>
      </w:tr>
      <w:tr>
        <w:tblPrEx>
          <w:tblCellMar>
            <w:top w:w="0" w:type="dxa"/>
            <w:left w:w="108" w:type="dxa"/>
            <w:bottom w:w="0" w:type="dxa"/>
            <w:right w:w="108" w:type="dxa"/>
          </w:tblCellMar>
        </w:tblPrEx>
        <w:trPr>
          <w:trHeight w:val="55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预防接种人次数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≥406次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≥406次</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医务人员培训次数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≥10次</w:t>
            </w:r>
          </w:p>
        </w:tc>
      </w:tr>
      <w:tr>
        <w:tblPrEx>
          <w:tblCellMar>
            <w:top w:w="0" w:type="dxa"/>
            <w:left w:w="108" w:type="dxa"/>
            <w:bottom w:w="0" w:type="dxa"/>
            <w:right w:w="108" w:type="dxa"/>
          </w:tblCellMar>
        </w:tblPrEx>
        <w:trPr>
          <w:trHeight w:val="58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center" w:pos="769"/>
                <w:tab w:val="right" w:pos="1419"/>
              </w:tabs>
              <w:spacing w:line="320" w:lineRule="exact"/>
              <w:jc w:val="center"/>
              <w:textAlignment w:val="bottom"/>
              <w:rPr>
                <w:rFonts w:ascii="宋体" w:hAnsi="宋体" w:cs="宋体"/>
                <w:kern w:val="0"/>
                <w:sz w:val="18"/>
                <w:szCs w:val="18"/>
              </w:rPr>
            </w:pPr>
            <w:r>
              <w:rPr>
                <w:rFonts w:hint="eastAsia" w:ascii="宋体" w:hAnsi="宋体" w:cs="宋体"/>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工资福利到位率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100%</w:t>
            </w:r>
          </w:p>
        </w:tc>
      </w:tr>
      <w:tr>
        <w:tblPrEx>
          <w:tblCellMar>
            <w:top w:w="0" w:type="dxa"/>
            <w:left w:w="108" w:type="dxa"/>
            <w:bottom w:w="0" w:type="dxa"/>
            <w:right w:w="108" w:type="dxa"/>
          </w:tblCellMar>
        </w:tblPrEx>
        <w:trPr>
          <w:trHeight w:val="664"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医务人员及乡村医生培训合格率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项目执行率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18"/>
                <w:szCs w:val="18"/>
              </w:rPr>
            </w:pPr>
            <w:r>
              <w:rPr>
                <w:rFonts w:hint="eastAsia" w:ascii="宋体" w:hAnsi="宋体" w:cs="宋体"/>
                <w:color w:val="000000"/>
                <w:kern w:val="0"/>
                <w:sz w:val="18"/>
                <w:szCs w:val="18"/>
              </w:rPr>
              <w:t>工资福利总额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≤483.1万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≤483.1万</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效益指标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sz w:val="18"/>
                <w:szCs w:val="18"/>
              </w:rPr>
              <w:t>职工人均收入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≥5万元</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Cs w:val="21"/>
              </w:rPr>
              <w:t>驻村人员、帮扶对象幸福指数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63" w:leftChars="87" w:hanging="180" w:hangingChars="100"/>
              <w:jc w:val="left"/>
              <w:textAlignment w:val="bottom"/>
              <w:rPr>
                <w:rFonts w:ascii="宋体" w:hAnsi="宋体" w:cs="宋体"/>
                <w:sz w:val="18"/>
                <w:szCs w:val="18"/>
              </w:rPr>
            </w:pPr>
            <w:r>
              <w:rPr>
                <w:rFonts w:hint="eastAsia" w:ascii="宋体" w:hAnsi="宋体" w:cs="宋体"/>
                <w:kern w:val="0"/>
                <w:sz w:val="18"/>
                <w:szCs w:val="1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Cs w:val="21"/>
              </w:rPr>
              <w:t>能耗下降率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宋体" w:hAnsi="宋体" w:cs="宋体"/>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18"/>
                <w:szCs w:val="1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满意度指标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kern w:val="0"/>
                <w:sz w:val="18"/>
                <w:szCs w:val="18"/>
              </w:rPr>
            </w:pPr>
            <w:r>
              <w:rPr>
                <w:rFonts w:hint="eastAsia" w:ascii="宋体" w:hAnsi="宋体" w:cs="宋体"/>
                <w:kern w:val="0"/>
                <w:sz w:val="18"/>
                <w:szCs w:val="18"/>
              </w:rPr>
              <w:t>满意度</w:t>
            </w:r>
          </w:p>
          <w:p>
            <w:pPr>
              <w:widowControl/>
              <w:spacing w:line="320" w:lineRule="exact"/>
              <w:jc w:val="center"/>
              <w:textAlignment w:val="bottom"/>
              <w:rPr>
                <w:rFonts w:ascii="宋体" w:hAnsi="宋体" w:cs="宋体"/>
                <w:sz w:val="18"/>
                <w:szCs w:val="18"/>
              </w:rPr>
            </w:pPr>
            <w:r>
              <w:rPr>
                <w:rFonts w:hint="eastAsia" w:ascii="宋体" w:hAnsi="宋体" w:cs="宋体"/>
                <w:kern w:val="0"/>
                <w:sz w:val="18"/>
                <w:szCs w:val="1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18"/>
                <w:szCs w:val="1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宋体" w:hAnsi="宋体" w:cs="宋体"/>
                <w:sz w:val="18"/>
                <w:szCs w:val="18"/>
              </w:rPr>
            </w:pPr>
            <w:r>
              <w:rPr>
                <w:rFonts w:hint="eastAsia" w:ascii="宋体" w:hAnsi="宋体" w:cs="宋体"/>
                <w:color w:val="000000"/>
                <w:kern w:val="0"/>
                <w:sz w:val="20"/>
                <w:szCs w:val="20"/>
              </w:rPr>
              <w:t>≥90%</w:t>
            </w:r>
            <w:bookmarkEnd w:id="118"/>
          </w:p>
        </w:tc>
      </w:tr>
    </w:tbl>
    <w:p>
      <w:pPr>
        <w:spacing w:line="600" w:lineRule="exact"/>
        <w:jc w:val="center"/>
        <w:rPr>
          <w:rFonts w:ascii="黑体" w:hAnsi="黑体" w:eastAsia="黑体"/>
          <w:sz w:val="44"/>
          <w:szCs w:val="44"/>
        </w:rPr>
      </w:pPr>
      <w:bookmarkStart w:id="119" w:name="_Toc8886"/>
      <w:bookmarkStart w:id="120" w:name="_Toc15396618"/>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outlineLvl w:val="0"/>
        <w:rPr>
          <w:rFonts w:ascii="仿宋" w:hAnsi="仿宋" w:eastAsia="仿宋"/>
        </w:rPr>
      </w:pPr>
      <w:bookmarkStart w:id="121" w:name="_Toc17803"/>
      <w:r>
        <w:rPr>
          <w:rFonts w:hint="eastAsia" w:ascii="黑体" w:hAnsi="黑体" w:eastAsia="黑体"/>
          <w:sz w:val="44"/>
          <w:szCs w:val="44"/>
        </w:rPr>
        <w:t>第</w:t>
      </w:r>
      <w:r>
        <w:rPr>
          <w:rStyle w:val="27"/>
          <w:rFonts w:hint="eastAsia" w:ascii="黑体" w:hAnsi="黑体" w:eastAsia="黑体"/>
          <w:b w:val="0"/>
        </w:rPr>
        <w:t>五部分附表</w:t>
      </w:r>
      <w:bookmarkEnd w:id="113"/>
      <w:bookmarkEnd w:id="119"/>
      <w:bookmarkEnd w:id="120"/>
      <w:bookmarkEnd w:id="121"/>
      <w:bookmarkStart w:id="122" w:name="_Toc15396619"/>
    </w:p>
    <w:p>
      <w:pPr>
        <w:pStyle w:val="12"/>
        <w:spacing w:before="0" w:after="0" w:line="640" w:lineRule="exact"/>
        <w:outlineLvl w:val="9"/>
        <w:rPr>
          <w:rFonts w:ascii="仿宋" w:hAnsi="仿宋" w:eastAsia="仿宋"/>
          <w:b w:val="0"/>
        </w:rPr>
      </w:pPr>
      <w:bookmarkStart w:id="123" w:name="_Toc17354"/>
    </w:p>
    <w:p>
      <w:pPr>
        <w:pStyle w:val="12"/>
        <w:spacing w:before="0" w:after="0" w:line="640" w:lineRule="exact"/>
        <w:rPr>
          <w:rFonts w:ascii="仿宋" w:hAnsi="仿宋" w:eastAsia="仿宋"/>
        </w:rPr>
      </w:pPr>
      <w:bookmarkStart w:id="124" w:name="_Toc18508"/>
      <w:r>
        <w:rPr>
          <w:rFonts w:hint="eastAsia" w:ascii="仿宋" w:hAnsi="仿宋" w:eastAsia="仿宋"/>
          <w:b w:val="0"/>
        </w:rPr>
        <w:t>一、收</w:t>
      </w:r>
      <w:r>
        <w:rPr>
          <w:rStyle w:val="28"/>
          <w:rFonts w:hint="eastAsia" w:ascii="仿宋" w:hAnsi="仿宋" w:eastAsia="仿宋"/>
          <w:b w:val="0"/>
          <w:bCs w:val="0"/>
        </w:rPr>
        <w:t>入支出决算总表</w:t>
      </w:r>
      <w:bookmarkEnd w:id="122"/>
      <w:bookmarkEnd w:id="123"/>
      <w:bookmarkEnd w:id="124"/>
    </w:p>
    <w:p>
      <w:pPr>
        <w:pStyle w:val="12"/>
        <w:spacing w:before="0" w:after="0" w:line="640" w:lineRule="exact"/>
        <w:rPr>
          <w:rFonts w:ascii="仿宋" w:hAnsi="仿宋" w:eastAsia="仿宋"/>
        </w:rPr>
      </w:pPr>
      <w:bookmarkStart w:id="125" w:name="_Toc15396620"/>
      <w:bookmarkStart w:id="126" w:name="_Toc19066"/>
      <w:bookmarkStart w:id="127" w:name="_Toc18598"/>
      <w:r>
        <w:rPr>
          <w:rFonts w:hint="eastAsia" w:ascii="仿宋" w:hAnsi="仿宋" w:eastAsia="仿宋"/>
          <w:b w:val="0"/>
        </w:rPr>
        <w:t>二、收</w:t>
      </w:r>
      <w:r>
        <w:rPr>
          <w:rStyle w:val="28"/>
          <w:rFonts w:hint="eastAsia" w:ascii="仿宋" w:hAnsi="仿宋" w:eastAsia="仿宋"/>
          <w:b w:val="0"/>
          <w:bCs w:val="0"/>
        </w:rPr>
        <w:t>入决算表</w:t>
      </w:r>
      <w:bookmarkEnd w:id="125"/>
      <w:bookmarkEnd w:id="126"/>
      <w:bookmarkEnd w:id="127"/>
    </w:p>
    <w:p>
      <w:pPr>
        <w:pStyle w:val="12"/>
        <w:spacing w:before="0" w:after="0" w:line="640" w:lineRule="exact"/>
        <w:rPr>
          <w:rFonts w:ascii="仿宋" w:hAnsi="仿宋" w:eastAsia="仿宋"/>
        </w:rPr>
      </w:pPr>
      <w:bookmarkStart w:id="128" w:name="_Toc15396621"/>
      <w:bookmarkStart w:id="129" w:name="_Toc2299"/>
      <w:bookmarkStart w:id="130" w:name="_Toc21073"/>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128"/>
      <w:bookmarkEnd w:id="129"/>
      <w:bookmarkEnd w:id="130"/>
    </w:p>
    <w:p>
      <w:pPr>
        <w:pStyle w:val="12"/>
        <w:spacing w:before="0" w:after="0" w:line="640" w:lineRule="exact"/>
        <w:rPr>
          <w:rFonts w:ascii="仿宋" w:hAnsi="仿宋" w:eastAsia="仿宋"/>
          <w:b w:val="0"/>
        </w:rPr>
      </w:pPr>
      <w:bookmarkStart w:id="131" w:name="_Toc18072"/>
      <w:bookmarkStart w:id="132" w:name="_Toc1459"/>
      <w:bookmarkStart w:id="133" w:name="_Toc15396622"/>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131"/>
      <w:bookmarkEnd w:id="132"/>
      <w:bookmarkEnd w:id="133"/>
    </w:p>
    <w:p>
      <w:pPr>
        <w:pStyle w:val="12"/>
        <w:spacing w:before="0" w:after="0" w:line="640" w:lineRule="exact"/>
        <w:rPr>
          <w:rStyle w:val="28"/>
          <w:rFonts w:ascii="仿宋" w:hAnsi="仿宋" w:eastAsia="仿宋"/>
          <w:b w:val="0"/>
          <w:bCs w:val="0"/>
        </w:rPr>
      </w:pPr>
      <w:bookmarkStart w:id="134" w:name="_Toc15396623"/>
      <w:bookmarkStart w:id="135" w:name="_Toc5905"/>
      <w:bookmarkStart w:id="136" w:name="_Toc24974"/>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134"/>
      <w:bookmarkEnd w:id="135"/>
      <w:bookmarkEnd w:id="136"/>
      <w:bookmarkStart w:id="137" w:name="_Toc15396624"/>
    </w:p>
    <w:p>
      <w:pPr>
        <w:pStyle w:val="12"/>
        <w:spacing w:before="0" w:after="0" w:line="640" w:lineRule="exact"/>
        <w:rPr>
          <w:rFonts w:ascii="仿宋" w:hAnsi="仿宋" w:eastAsia="仿宋"/>
        </w:rPr>
      </w:pPr>
      <w:bookmarkStart w:id="138" w:name="_Toc6081"/>
      <w:bookmarkStart w:id="139" w:name="_Toc19028"/>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财政拨款支出决算表</w:t>
      </w:r>
      <w:bookmarkEnd w:id="137"/>
      <w:bookmarkEnd w:id="138"/>
      <w:bookmarkEnd w:id="139"/>
    </w:p>
    <w:p>
      <w:pPr>
        <w:pStyle w:val="12"/>
        <w:spacing w:before="0" w:after="0" w:line="640" w:lineRule="exact"/>
        <w:rPr>
          <w:rFonts w:ascii="仿宋" w:hAnsi="仿宋" w:eastAsia="仿宋"/>
        </w:rPr>
      </w:pPr>
      <w:bookmarkStart w:id="140" w:name="_Toc16552"/>
      <w:bookmarkStart w:id="141" w:name="_Toc15396625"/>
      <w:bookmarkStart w:id="142" w:name="_Toc21655"/>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财政拨款支出决算明细表</w:t>
      </w:r>
      <w:bookmarkEnd w:id="140"/>
      <w:bookmarkEnd w:id="141"/>
      <w:bookmarkEnd w:id="142"/>
    </w:p>
    <w:p>
      <w:pPr>
        <w:pStyle w:val="12"/>
        <w:spacing w:before="0" w:after="0" w:line="640" w:lineRule="exact"/>
        <w:rPr>
          <w:rFonts w:ascii="仿宋" w:hAnsi="仿宋" w:eastAsia="仿宋"/>
        </w:rPr>
      </w:pPr>
      <w:bookmarkStart w:id="143" w:name="_Toc25014"/>
      <w:bookmarkStart w:id="144" w:name="_Toc6853"/>
      <w:bookmarkStart w:id="145" w:name="_Toc153966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财政拨款基本支出决算表</w:t>
      </w:r>
      <w:bookmarkEnd w:id="143"/>
      <w:bookmarkEnd w:id="144"/>
      <w:bookmarkEnd w:id="145"/>
    </w:p>
    <w:p>
      <w:pPr>
        <w:pStyle w:val="12"/>
        <w:spacing w:before="0" w:after="0" w:line="640" w:lineRule="exact"/>
        <w:rPr>
          <w:rFonts w:ascii="仿宋" w:hAnsi="仿宋" w:eastAsia="仿宋"/>
        </w:rPr>
      </w:pPr>
      <w:bookmarkStart w:id="146" w:name="_Toc2471"/>
      <w:bookmarkStart w:id="147" w:name="_Toc15396627"/>
      <w:bookmarkStart w:id="148" w:name="_Toc19663"/>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财政拨款项目支出决算表</w:t>
      </w:r>
      <w:bookmarkEnd w:id="146"/>
      <w:bookmarkEnd w:id="147"/>
      <w:bookmarkEnd w:id="148"/>
    </w:p>
    <w:p>
      <w:pPr>
        <w:pStyle w:val="12"/>
        <w:spacing w:before="0" w:after="0" w:line="640" w:lineRule="exact"/>
        <w:rPr>
          <w:rFonts w:ascii="仿宋" w:hAnsi="仿宋" w:eastAsia="仿宋"/>
        </w:rPr>
      </w:pPr>
      <w:bookmarkStart w:id="149" w:name="_Toc5467"/>
      <w:bookmarkStart w:id="150" w:name="_Toc20094"/>
      <w:bookmarkStart w:id="151" w:name="_Toc15396628"/>
      <w:r>
        <w:rPr>
          <w:rStyle w:val="28"/>
          <w:rFonts w:hint="eastAsia" w:ascii="仿宋" w:hAnsi="仿宋" w:eastAsia="仿宋"/>
          <w:b w:val="0"/>
          <w:bCs w:val="0"/>
        </w:rPr>
        <w:t>十、</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财政拨款“三公”经费支出决算表</w:t>
      </w:r>
      <w:bookmarkEnd w:id="149"/>
      <w:bookmarkEnd w:id="150"/>
      <w:bookmarkEnd w:id="151"/>
    </w:p>
    <w:p>
      <w:pPr>
        <w:pStyle w:val="12"/>
        <w:spacing w:before="0" w:after="0" w:line="640" w:lineRule="exact"/>
        <w:rPr>
          <w:rFonts w:ascii="仿宋" w:hAnsi="仿宋" w:eastAsia="仿宋"/>
        </w:rPr>
      </w:pPr>
      <w:bookmarkStart w:id="152" w:name="_Toc21337"/>
      <w:bookmarkStart w:id="153" w:name="_Toc14142"/>
      <w:bookmarkStart w:id="154" w:name="_Toc15396629"/>
      <w:r>
        <w:rPr>
          <w:rStyle w:val="28"/>
          <w:rFonts w:hint="eastAsia" w:ascii="仿宋" w:hAnsi="仿宋" w:eastAsia="仿宋"/>
          <w:b w:val="0"/>
          <w:bCs w:val="0"/>
        </w:rPr>
        <w:t>十一、</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财政拨款收入支出决算表</w:t>
      </w:r>
      <w:bookmarkEnd w:id="152"/>
      <w:bookmarkEnd w:id="153"/>
      <w:bookmarkEnd w:id="154"/>
    </w:p>
    <w:p>
      <w:pPr>
        <w:pStyle w:val="12"/>
        <w:spacing w:before="0" w:after="0" w:line="640" w:lineRule="exact"/>
        <w:rPr>
          <w:rFonts w:ascii="仿宋" w:hAnsi="仿宋" w:eastAsia="仿宋"/>
        </w:rPr>
      </w:pPr>
      <w:bookmarkStart w:id="155" w:name="_Toc29440"/>
      <w:bookmarkStart w:id="156" w:name="_Toc15396630"/>
      <w:bookmarkStart w:id="157" w:name="_Toc21509"/>
      <w:r>
        <w:rPr>
          <w:rStyle w:val="28"/>
          <w:rFonts w:hint="eastAsia" w:ascii="仿宋" w:hAnsi="仿宋" w:eastAsia="仿宋"/>
          <w:b w:val="0"/>
          <w:bCs w:val="0"/>
        </w:rPr>
        <w:t>十二、</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财政拨款“三公”经费支出决算表</w:t>
      </w:r>
      <w:bookmarkEnd w:id="155"/>
      <w:bookmarkEnd w:id="156"/>
      <w:bookmarkEnd w:id="157"/>
    </w:p>
    <w:p>
      <w:pPr>
        <w:pStyle w:val="12"/>
        <w:spacing w:before="0" w:after="0" w:line="640" w:lineRule="exact"/>
        <w:rPr>
          <w:rStyle w:val="28"/>
          <w:rFonts w:ascii="仿宋" w:hAnsi="仿宋" w:eastAsia="仿宋"/>
          <w:b w:val="0"/>
          <w:bCs w:val="0"/>
        </w:rPr>
      </w:pPr>
      <w:bookmarkStart w:id="158" w:name="_Toc20570"/>
      <w:bookmarkStart w:id="159" w:name="_Toc15396631"/>
      <w:bookmarkStart w:id="160" w:name="_Toc22345"/>
      <w:r>
        <w:rPr>
          <w:rStyle w:val="28"/>
          <w:rFonts w:hint="eastAsia" w:ascii="仿宋" w:hAnsi="仿宋" w:eastAsia="仿宋"/>
          <w:b w:val="0"/>
          <w:bCs w:val="0"/>
        </w:rPr>
        <w:t>十三、</w:t>
      </w:r>
      <w:r>
        <w:rPr>
          <w:rFonts w:hint="eastAsia" w:ascii="仿宋" w:hAnsi="仿宋" w:eastAsia="仿宋"/>
          <w:b w:val="0"/>
        </w:rPr>
        <w:t>国</w:t>
      </w:r>
      <w:r>
        <w:rPr>
          <w:rStyle w:val="28"/>
          <w:rFonts w:hint="eastAsia" w:ascii="仿宋" w:hAnsi="仿宋" w:eastAsia="仿宋"/>
          <w:b w:val="0"/>
          <w:bCs w:val="0"/>
        </w:rPr>
        <w:t>有</w:t>
      </w:r>
      <w:r>
        <w:rPr>
          <w:rFonts w:hint="eastAsia" w:ascii="仿宋" w:hAnsi="仿宋" w:eastAsia="仿宋"/>
          <w:b w:val="0"/>
          <w:bCs w:val="0"/>
        </w:rPr>
        <w:t>资本经营</w:t>
      </w:r>
      <w:r>
        <w:rPr>
          <w:rStyle w:val="28"/>
          <w:rFonts w:hint="eastAsia" w:ascii="仿宋" w:hAnsi="仿宋" w:eastAsia="仿宋"/>
          <w:b w:val="0"/>
          <w:bCs w:val="0"/>
        </w:rPr>
        <w:t>预算财政拨款收入支出决算表</w:t>
      </w:r>
      <w:bookmarkEnd w:id="158"/>
      <w:bookmarkEnd w:id="159"/>
      <w:bookmarkEnd w:id="160"/>
    </w:p>
    <w:p>
      <w:pPr>
        <w:spacing w:line="640" w:lineRule="exact"/>
        <w:rPr>
          <w:rFonts w:eastAsia="仿宋"/>
        </w:rPr>
      </w:pPr>
      <w:bookmarkStart w:id="161" w:name="_Toc25764"/>
      <w:bookmarkStart w:id="162" w:name="_Toc26576"/>
      <w:r>
        <w:rPr>
          <w:rStyle w:val="28"/>
          <w:rFonts w:hint="eastAsia" w:ascii="仿宋" w:hAnsi="仿宋" w:eastAsia="仿宋"/>
          <w:b w:val="0"/>
          <w:bCs w:val="0"/>
        </w:rPr>
        <w:t>十四、</w:t>
      </w:r>
      <w:r>
        <w:rPr>
          <w:rFonts w:hint="eastAsia" w:ascii="仿宋" w:hAnsi="仿宋" w:eastAsia="仿宋"/>
          <w:sz w:val="32"/>
          <w:szCs w:val="32"/>
        </w:rPr>
        <w:t>国有资本经营预算财政拨款支出决算表</w:t>
      </w:r>
      <w:bookmarkEnd w:id="161"/>
      <w:bookmarkEnd w:id="162"/>
    </w:p>
    <w:sectPr>
      <w:footerReference r:id="rId12" w:type="first"/>
      <w:footerReference r:id="rId11"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8</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5"/>
          <w:jc w:val="center"/>
        </w:pPr>
        <w:r>
          <w:fldChar w:fldCharType="begin"/>
        </w:r>
        <w:r>
          <w:instrText xml:space="preserve">PAGE   \* MERGEFORMAT</w:instrText>
        </w:r>
        <w:r>
          <w:fldChar w:fldCharType="separate"/>
        </w:r>
        <w:r>
          <w:rPr>
            <w:lang w:val="zh-CN"/>
          </w:rPr>
          <w:t>19</w:t>
        </w:r>
        <w:r>
          <w:fldChar w:fldCharType="end"/>
        </w:r>
      </w:p>
    </w:sdtContent>
  </w:sdt>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9"/>
      <w:numFmt w:val="chineseCounting"/>
      <w:suff w:val="nothing"/>
      <w:lvlText w:val="%1、"/>
      <w:lvlJc w:val="left"/>
      <w:rPr>
        <w:rFonts w:hint="eastAsia"/>
      </w:rPr>
    </w:lvl>
  </w:abstractNum>
  <w:abstractNum w:abstractNumId="1">
    <w:nsid w:val="0053208E"/>
    <w:multiLevelType w:val="multilevel"/>
    <w:tmpl w:val="0053208E"/>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9ADCABA"/>
    <w:multiLevelType w:val="singleLevel"/>
    <w:tmpl w:val="59ADCABA"/>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ViMTY2MzAwNzZjNjc3NDcyZjNiODJhNzZkNmE1YzIifQ=="/>
  </w:docVars>
  <w:rsids>
    <w:rsidRoot w:val="00000000"/>
    <w:rsid w:val="1844480B"/>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uiPriority w:val="99"/>
    <w:rPr>
      <w:b/>
    </w:rPr>
  </w:style>
  <w:style w:type="character" w:styleId="9">
    <w:name w:val="Hyperlink"/>
    <w:basedOn w:val="7"/>
    <w:unhideWhenUsed/>
    <w:qFormat/>
    <w:uiPriority w:val="99"/>
    <w:rPr>
      <w:color w:val="0000FF" w:themeColor="hyperlink"/>
      <w:u w:val="single"/>
    </w:rPr>
  </w:style>
  <w:style w:type="character" w:styleId="10">
    <w:name w:val="annotation reference"/>
    <w:basedOn w:val="7"/>
    <w:semiHidden/>
    <w:unhideWhenUsed/>
    <w:uiPriority w:val="99"/>
    <w:rPr>
      <w:sz w:val="21"/>
      <w:szCs w:val="21"/>
    </w:rPr>
  </w:style>
  <w:style w:type="paragraph" w:customStyle="1" w:styleId="11">
    <w:name w:val="Heading 1"/>
    <w:basedOn w:val="1"/>
    <w:next w:val="1"/>
    <w:link w:val="27"/>
    <w:qFormat/>
    <w:uiPriority w:val="9"/>
    <w:pPr>
      <w:keepNext/>
      <w:keepLines/>
      <w:spacing w:before="340" w:after="330" w:line="578" w:lineRule="auto"/>
      <w:outlineLvl w:val="0"/>
    </w:pPr>
    <w:rPr>
      <w:b/>
      <w:bCs/>
      <w:kern w:val="44"/>
      <w:sz w:val="44"/>
      <w:szCs w:val="44"/>
    </w:rPr>
  </w:style>
  <w:style w:type="paragraph" w:customStyle="1" w:styleId="12">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3">
    <w:name w:val="Heading 3"/>
    <w:basedOn w:val="1"/>
    <w:next w:val="1"/>
    <w:link w:val="31"/>
    <w:unhideWhenUsed/>
    <w:qFormat/>
    <w:uiPriority w:val="9"/>
    <w:pPr>
      <w:keepNext/>
      <w:keepLines/>
      <w:spacing w:before="260" w:after="260" w:line="416" w:lineRule="auto"/>
      <w:outlineLvl w:val="2"/>
    </w:pPr>
    <w:rPr>
      <w:b/>
      <w:bCs/>
      <w:sz w:val="32"/>
      <w:szCs w:val="32"/>
    </w:rPr>
  </w:style>
  <w:style w:type="paragraph" w:customStyle="1" w:styleId="14">
    <w:name w:val="TOC 3"/>
    <w:basedOn w:val="1"/>
    <w:next w:val="1"/>
    <w:unhideWhenUsed/>
    <w:qFormat/>
    <w:uiPriority w:val="39"/>
    <w:pPr>
      <w:tabs>
        <w:tab w:val="right" w:leader="dot" w:pos="8296"/>
      </w:tabs>
      <w:ind w:left="840" w:leftChars="400"/>
    </w:pPr>
  </w:style>
  <w:style w:type="paragraph" w:customStyle="1" w:styleId="15">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8">
    <w:name w:val="TOC 2"/>
    <w:basedOn w:val="1"/>
    <w:next w:val="1"/>
    <w:unhideWhenUsed/>
    <w:qFormat/>
    <w:uiPriority w:val="39"/>
    <w:pPr>
      <w:tabs>
        <w:tab w:val="right" w:leader="dot" w:pos="8296"/>
      </w:tabs>
      <w:ind w:left="420" w:leftChars="200"/>
    </w:pPr>
  </w:style>
  <w:style w:type="character" w:customStyle="1" w:styleId="19">
    <w:name w:val="Header Char"/>
    <w:basedOn w:val="7"/>
    <w:semiHidden/>
    <w:qFormat/>
    <w:uiPriority w:val="99"/>
    <w:rPr>
      <w:rFonts w:ascii="Times New Roman" w:hAnsi="Times New Roman"/>
      <w:sz w:val="18"/>
      <w:szCs w:val="18"/>
    </w:rPr>
  </w:style>
  <w:style w:type="character" w:customStyle="1" w:styleId="20">
    <w:name w:val="页眉 Char"/>
    <w:semiHidden/>
    <w:qFormat/>
    <w:locked/>
    <w:uiPriority w:val="99"/>
    <w:rPr>
      <w:sz w:val="18"/>
    </w:rPr>
  </w:style>
  <w:style w:type="character" w:customStyle="1" w:styleId="21">
    <w:name w:val="Footer Char"/>
    <w:basedOn w:val="7"/>
    <w:semiHidden/>
    <w:qFormat/>
    <w:uiPriority w:val="99"/>
    <w:rPr>
      <w:rFonts w:ascii="Times New Roman" w:hAnsi="Times New Roman"/>
      <w:sz w:val="18"/>
      <w:szCs w:val="18"/>
    </w:rPr>
  </w:style>
  <w:style w:type="character" w:customStyle="1" w:styleId="22">
    <w:name w:val="页脚 Char"/>
    <w:qFormat/>
    <w:locked/>
    <w:uiPriority w:val="99"/>
    <w:rPr>
      <w:sz w:val="18"/>
    </w:rPr>
  </w:style>
  <w:style w:type="character" w:customStyle="1" w:styleId="23">
    <w:name w:val="Body Text Char"/>
    <w:basedOn w:val="7"/>
    <w:semiHidden/>
    <w:qFormat/>
    <w:uiPriority w:val="99"/>
    <w:rPr>
      <w:rFonts w:ascii="Times New Roman" w:hAnsi="Times New Roman"/>
      <w:szCs w:val="24"/>
    </w:rPr>
  </w:style>
  <w:style w:type="character" w:customStyle="1" w:styleId="24">
    <w:name w:val="正文文本 Char"/>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7"/>
    <w:link w:val="11"/>
    <w:qFormat/>
    <w:uiPriority w:val="9"/>
    <w:rPr>
      <w:rFonts w:ascii="Times New Roman" w:hAnsi="Times New Roman"/>
      <w:b/>
      <w:bCs/>
      <w:kern w:val="44"/>
      <w:sz w:val="44"/>
      <w:szCs w:val="44"/>
    </w:rPr>
  </w:style>
  <w:style w:type="character" w:customStyle="1" w:styleId="28">
    <w:name w:val="标题 2 Char"/>
    <w:basedOn w:val="7"/>
    <w:link w:val="12"/>
    <w:qFormat/>
    <w:uiPriority w:val="9"/>
    <w:rPr>
      <w:rFonts w:asciiTheme="majorHAnsi" w:hAnsiTheme="majorHAnsi" w:eastAsiaTheme="majorEastAsia" w:cstheme="majorBidi"/>
      <w:b/>
      <w:bCs/>
      <w:kern w:val="2"/>
      <w:sz w:val="32"/>
      <w:szCs w:val="32"/>
    </w:rPr>
  </w:style>
  <w:style w:type="paragraph" w:customStyle="1" w:styleId="29">
    <w:name w:val="TOC 标题1"/>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7"/>
    <w:semiHidden/>
    <w:qFormat/>
    <w:uiPriority w:val="99"/>
    <w:rPr>
      <w:rFonts w:ascii="Times New Roman" w:hAnsi="Times New Roman"/>
      <w:kern w:val="2"/>
      <w:sz w:val="18"/>
      <w:szCs w:val="18"/>
    </w:rPr>
  </w:style>
  <w:style w:type="character" w:customStyle="1" w:styleId="31">
    <w:name w:val="标题 3 Char"/>
    <w:basedOn w:val="7"/>
    <w:link w:val="13"/>
    <w:qFormat/>
    <w:uiPriority w:val="9"/>
    <w:rPr>
      <w:rFonts w:ascii="Times New Roman" w:hAnsi="Times New Roman"/>
      <w:b/>
      <w:bCs/>
      <w:kern w:val="2"/>
      <w:sz w:val="32"/>
      <w:szCs w:val="32"/>
    </w:rPr>
  </w:style>
  <w:style w:type="paragraph" w:customStyle="1" w:styleId="32">
    <w:name w:val="TOC 标题2"/>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5">
    <w:name w:val="批注文字 Char"/>
    <w:basedOn w:val="7"/>
    <w:semiHidden/>
    <w:uiPriority w:val="99"/>
    <w:rPr>
      <w:kern w:val="2"/>
      <w:sz w:val="21"/>
      <w:szCs w:val="24"/>
    </w:rPr>
  </w:style>
  <w:style w:type="paragraph" w:customStyle="1" w:styleId="36">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7">
    <w:name w:val="页眉 Char1"/>
    <w:basedOn w:val="7"/>
    <w:semiHidden/>
    <w:uiPriority w:val="99"/>
    <w:rPr>
      <w:kern w:val="2"/>
      <w:sz w:val="18"/>
      <w:szCs w:val="18"/>
    </w:rPr>
  </w:style>
  <w:style w:type="paragraph" w:customStyle="1" w:styleId="38">
    <w:name w:val="Footer0"/>
    <w:basedOn w:val="1"/>
    <w:qFormat/>
    <w:uiPriority w:val="99"/>
    <w:pPr>
      <w:tabs>
        <w:tab w:val="center" w:pos="4153"/>
        <w:tab w:val="right" w:pos="8306"/>
      </w:tabs>
      <w:snapToGrid w:val="0"/>
      <w:jc w:val="left"/>
    </w:pPr>
    <w:rPr>
      <w:sz w:val="18"/>
      <w:szCs w:val="18"/>
    </w:rPr>
  </w:style>
  <w:style w:type="character" w:customStyle="1" w:styleId="39">
    <w:name w:val="页脚 Char1"/>
    <w:basedOn w:val="7"/>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12.xml"/><Relationship Id="rId32" Type="http://schemas.openxmlformats.org/officeDocument/2006/relationships/customXml" Target="../customXml/item11.xml"/><Relationship Id="rId31" Type="http://schemas.openxmlformats.org/officeDocument/2006/relationships/customXml" Target="../customXml/item10.xml"/><Relationship Id="rId30" Type="http://schemas.openxmlformats.org/officeDocument/2006/relationships/customXml" Target="../customXml/item9.xml"/><Relationship Id="rId3" Type="http://schemas.openxmlformats.org/officeDocument/2006/relationships/header" Target="header1.xml"/><Relationship Id="rId29" Type="http://schemas.openxmlformats.org/officeDocument/2006/relationships/customXml" Target="../customXml/item8.xml"/><Relationship Id="rId28" Type="http://schemas.openxmlformats.org/officeDocument/2006/relationships/customXml" Target="../customXml/item7.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5FAD4052AE9E4E6C84A389804945DAD6</vt:lpstr>
  </property>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2022-11-01T09:14:00Z</dcterms:modified>
</cp:coreProperties>
</file>

<file path=customXml/item11.xml><?xml version="1.0" encoding="utf-8"?>
<Properties xmlns:vt="http://schemas.openxmlformats.org/officeDocument/2006/docPropsVTypes" xmlns="http://schemas.openxmlformats.org/officeDocument/2006/extended-properties">
  <Template>Normal.dotm</Template>
  <TotalTime>2</TotalTime>
  <Pages>24</Pages>
  <Words>8432</Words>
  <Characters>9095</Characters>
  <Application>WPS Office_11.1.0.9208_F1E327BC-269C-435d-A152-05C5408002CA</Application>
  <DocSecurity>0</DocSecurity>
  <Lines>61</Lines>
  <Paragraphs>17</Paragraphs>
  <Company>四川省财政厅</Company>
  <CharactersWithSpaces>9228</CharactersWithSpaces>
  <AppVersion>14.0000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37</cp:revision>
  <cp:lastPrinted>2022-08-06T02:23:00Z</cp:lastPrinted>
  <dcterms:created xsi:type="dcterms:W3CDTF">2020-08-05T01:49:00Z</dcterms:created>
  <dcterms:modified xsi:type="dcterms:W3CDTF">2023-02-24T08:17:00Z</dcterms:modified>
</cp:core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5FAD4052AE9E4E6C84A389804945DAD6</vt:lpwstr>
  </property>
</Properties>
</file>

<file path=customXml/item3.xml><?xml version="1.0" encoding="utf-8"?>
<Properties xmlns="http://schemas.openxmlformats.org/officeDocument/2006/extended-properties" xmlns:vt="http://schemas.openxmlformats.org/officeDocument/2006/docPropsVTypes">
  <Template>Normal</Template>
  <TotalTime>8</TotalTime>
  <Pages>21</Pages>
  <Words>1530</Words>
  <Characters>8727</Characters>
  <Application>Microsoft Office Word</Application>
  <DocSecurity>0</DocSecurity>
  <Lines>72</Lines>
  <Paragraphs>20</Paragraphs>
  <ScaleCrop>false</ScaleCrop>
  <Company>四川省财政厅</Company>
  <LinksUpToDate>false</LinksUpToDate>
  <CharactersWithSpaces>10237</CharactersWithSpaces>
  <SharedDoc>false</SharedDoc>
  <HyperlinksChanged>false</HyperlinksChanged>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2022-11-01T09:14:00Z</dcterms:modified>
  <dc:title>四川省***</dc:title>
  <cp:revision>32</cp:revision>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37</cp:revision>
  <cp:lastPrinted>2022-08-06T02:23:00Z</cp:lastPrinted>
  <dcterms:created xsi:type="dcterms:W3CDTF">2020-08-05T01:49:00Z</dcterms:created>
  <dcterms:modified xsi:type="dcterms:W3CDTF">2023-02-24T08:17:00Z</dcterms:modified>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5FAD4052AE9E4E6C84A389804945DAD6</vt:lpstr>
  </property>
</Properties>
</file>

<file path=customXml/item7.xml><?xml version="1.0" encoding="utf-8"?>
<Properties xmlns:vt="http://schemas.openxmlformats.org/officeDocument/2006/docPropsVTypes" xmlns="http://schemas.openxmlformats.org/officeDocument/2006/extended-properties">
  <Template>Normal</Template>
  <TotalTime>8</TotalTime>
  <Pages>21</Pages>
  <Words>1530</Words>
  <Characters>8727</Characters>
  <Application>Microsoft Office Word</Application>
  <DocSecurity>0</DocSecurity>
  <Lines>72</Lines>
  <Paragraphs>20</Paragraphs>
  <Company>四川省财政厅</Company>
  <CharactersWithSpaces>10237</CharactersWithSpaces>
  <AppVersion>12.0000</AppVersion>
</Properties>
</file>

<file path=customXml/item8.xml><?xml version="1.0" encoding="utf-8"?>
<Properties xmlns="http://schemas.openxmlformats.org/officeDocument/2006/extended-properties" xmlns:vt="http://schemas.openxmlformats.org/officeDocument/2006/docPropsVTypes">
  <Template>Normal.dotm</Template>
  <Company>四川省财政厅</Company>
  <Pages>24</Pages>
  <Words>8432</Words>
  <Characters>9095</Characters>
  <Lines>61</Lines>
  <Paragraphs>17</Paragraphs>
  <TotalTime>2</TotalTime>
  <ScaleCrop>false</ScaleCrop>
  <LinksUpToDate>false</LinksUpToDate>
  <CharactersWithSpaces>9228</CharactersWithSpaces>
  <Application>WPS Office_11.1.0.9208_F1E327BC-269C-435d-A152-05C5408002CA</Application>
  <DocSecurity>0</DocSecuri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5FAD4052AE9E4E6C84A389804945DAD6</vt:lpwstr>
  </property>
</Properties>
</file>

<file path=customXml/itemProps1.xml><?xml version="1.0" encoding="utf-8"?>
<ds:datastoreItem xmlns:ds="http://schemas.openxmlformats.org/officeDocument/2006/customXml" ds:itemID="{630BAFE1-72A4-4B46-B571-A7E940CE20C0}">
  <ds:schemaRefs/>
</ds:datastoreItem>
</file>

<file path=customXml/itemProps10.xml><?xml version="1.0" encoding="utf-8"?>
<ds:datastoreItem xmlns:ds="http://schemas.openxmlformats.org/officeDocument/2006/customXml" ds:itemID="{666A5DFB-B882-4713-BF95-19D2F75A48B4}">
  <ds:schemaRefs/>
</ds:datastoreItem>
</file>

<file path=customXml/itemProps11.xml><?xml version="1.0" encoding="utf-8"?>
<ds:datastoreItem xmlns:ds="http://schemas.openxmlformats.org/officeDocument/2006/customXml" ds:itemID="{04E1BC87-9531-4C48-A881-58AECCDD81A9}">
  <ds:schemaRefs/>
</ds:datastoreItem>
</file>

<file path=customXml/itemProps12.xml><?xml version="1.0" encoding="utf-8"?>
<ds:datastoreItem xmlns:ds="http://schemas.openxmlformats.org/officeDocument/2006/customXml" ds:itemID="{54de366e-2fd7-473a-80e0-182b72511cf3}">
  <ds:schemaRefs/>
</ds:datastoreItem>
</file>

<file path=customXml/itemProps2.xml><?xml version="1.0" encoding="utf-8"?>
<ds:datastoreItem xmlns:ds="http://schemas.openxmlformats.org/officeDocument/2006/customXml" ds:itemID="{e7b4a07a-67a8-42b9-8041-383a0ea7c481}">
  <ds:schemaRefs/>
</ds:datastoreItem>
</file>

<file path=customXml/itemProps3.xml><?xml version="1.0" encoding="utf-8"?>
<ds:datastoreItem xmlns:ds="http://schemas.openxmlformats.org/officeDocument/2006/customXml" ds:itemID="{d80b3362-b16a-44a3-b3b0-15ad0083c732}">
  <ds:schemaRefs/>
</ds:datastoreItem>
</file>

<file path=customXml/itemProps4.xml><?xml version="1.0" encoding="utf-8"?>
<ds:datastoreItem xmlns:ds="http://schemas.openxmlformats.org/officeDocument/2006/customXml" ds:itemID="{DA2AD7EC-0AC0-46B9-B8E1-B7D7F2907564}">
  <ds:schemaRefs/>
</ds:datastoreItem>
</file>

<file path=customXml/itemProps5.xml><?xml version="1.0" encoding="utf-8"?>
<ds:datastoreItem xmlns:ds="http://schemas.openxmlformats.org/officeDocument/2006/customXml" ds:itemID="{5306012a-943b-4edd-9d14-20c908dd47f2}">
  <ds:schemaRefs/>
</ds:datastoreItem>
</file>

<file path=customXml/itemProps6.xml><?xml version="1.0" encoding="utf-8"?>
<ds:datastoreItem xmlns:ds="http://schemas.openxmlformats.org/officeDocument/2006/customXml" ds:itemID="{536f4a30-7548-4d00-88b2-a4d63600e8df}">
  <ds:schemaRefs/>
</ds:datastoreItem>
</file>

<file path=customXml/itemProps7.xml><?xml version="1.0" encoding="utf-8"?>
<ds:datastoreItem xmlns:ds="http://schemas.openxmlformats.org/officeDocument/2006/customXml" ds:itemID="{372b053f-b5d7-44da-a775-74230c56a202}">
  <ds:schemaRefs/>
</ds:datastoreItem>
</file>

<file path=customXml/itemProps8.xml><?xml version="1.0" encoding="utf-8"?>
<ds:datastoreItem xmlns:ds="http://schemas.openxmlformats.org/officeDocument/2006/customXml" ds:itemID="{C80CA8C2-9B5A-4AF3-A2D8-A2170CD62DD5}">
  <ds:schemaRefs/>
</ds:datastoreItem>
</file>

<file path=customXml/itemProps9.xml><?xml version="1.0" encoding="utf-8"?>
<ds:datastoreItem xmlns:ds="http://schemas.openxmlformats.org/officeDocument/2006/customXml" ds:itemID="{9927BFB9-F6BD-493B-A2D5-70AEC4BD7D5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7739</Words>
  <Characters>8349</Characters>
  <Lines>72</Lines>
  <Paragraphs>20</Paragraphs>
  <TotalTime>8</TotalTime>
  <ScaleCrop>false</ScaleCrop>
  <LinksUpToDate>false</LinksUpToDate>
  <CharactersWithSpaces>8446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2023-06-26T23:00:54Z</dcterms:modified>
  <dc:title>四川省_x002A__x002A__x002A_</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B8C3630CA73C4205AB24A2B675255006_12</vt:lpwstr>
  </property>
</Properties>
</file>