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8441"/>
      <w:bookmarkStart w:id="2" w:name="_Toc15396475"/>
      <w:bookmarkStart w:id="3" w:name="_Toc15396597"/>
      <w:bookmarkStart w:id="4" w:name="_Toc15377193"/>
      <w:bookmarkStart w:id="5" w:name="_Toc15377425"/>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78442"/>
      <w:bookmarkStart w:id="7" w:name="_Toc15396598"/>
      <w:bookmarkStart w:id="8" w:name="_Toc15396476"/>
      <w:bookmarkStart w:id="9" w:name="_Toc15377194"/>
      <w:bookmarkStart w:id="10" w:name="_Toc15377426"/>
      <w:r>
        <w:rPr>
          <w:rFonts w:hint="eastAsia" w:ascii="方正小标宋简体" w:hAnsi="方正小标宋简体" w:eastAsia="方正小标宋简体" w:cs="方正小标宋简体"/>
          <w:sz w:val="72"/>
          <w:szCs w:val="72"/>
        </w:rPr>
        <w:t>四川省</w:t>
      </w:r>
      <w:bookmarkEnd w:id="0"/>
      <w:bookmarkStart w:id="11" w:name="_Toc15306268"/>
      <w:r>
        <w:rPr>
          <w:rFonts w:hint="eastAsia" w:ascii="方正小标宋简体" w:hAnsi="方正小标宋简体" w:eastAsia="方正小标宋简体" w:cs="方正小标宋简体"/>
          <w:sz w:val="72"/>
          <w:szCs w:val="72"/>
        </w:rPr>
        <w:t>巴中市通江县洪口镇人民政府单位决算</w:t>
      </w:r>
      <w:bookmarkEnd w:id="6"/>
      <w:bookmarkEnd w:id="7"/>
      <w:bookmarkEnd w:id="8"/>
      <w:bookmarkEnd w:id="9"/>
      <w:bookmarkEnd w:id="10"/>
      <w:bookmarkEnd w:id="11"/>
    </w:p>
    <w:p>
      <w:pPr>
        <w:widowControl/>
        <w:jc w:val="center"/>
        <w:rPr>
          <w:rFonts w:ascii="黑体" w:hAnsi="黑体" w:eastAsia="黑体"/>
          <w:sz w:val="48"/>
          <w:szCs w:val="48"/>
        </w:rPr>
      </w:pPr>
      <w: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21"/>
      </w:pPr>
      <w:r>
        <w:rPr>
          <w:rFonts w:hint="eastAsia"/>
        </w:rPr>
        <w:t>公开时间：2022年8月25日</w:t>
      </w:r>
    </w:p>
    <w:p/>
    <w:p>
      <w:pPr>
        <w:pStyle w:val="21"/>
        <w:adjustRightInd w:val="0"/>
        <w:snapToGrid w:val="0"/>
        <w:spacing w:before="0" w:line="440" w:lineRule="exact"/>
        <w:jc w:val="left"/>
        <w:rPr>
          <w:rFonts w:cstheme="minorBidi"/>
          <w:sz w:val="24"/>
          <w:szCs w:val="24"/>
        </w:rPr>
      </w:pPr>
      <w:r>
        <w:rPr>
          <w:rFonts w:hint="eastAsia"/>
          <w:sz w:val="24"/>
        </w:rPr>
        <w:t>第一部分单位概况</w:t>
      </w:r>
    </w:p>
    <w:p>
      <w:pPr>
        <w:pStyle w:val="22"/>
        <w:adjustRightInd w:val="0"/>
        <w:snapToGrid w:val="0"/>
        <w:spacing w:line="440" w:lineRule="exact"/>
        <w:jc w:val="left"/>
        <w:rPr>
          <w:sz w:val="24"/>
        </w:rPr>
      </w:pPr>
      <w:r>
        <w:rPr>
          <w:rFonts w:hint="eastAsia"/>
          <w:sz w:val="24"/>
        </w:rPr>
        <w:t>一、职能简介</w:t>
      </w:r>
    </w:p>
    <w:p>
      <w:pPr>
        <w:pStyle w:val="2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二、2021年重点工作完成情况</w:t>
      </w:r>
    </w:p>
    <w:p>
      <w:pPr>
        <w:pStyle w:val="21"/>
        <w:adjustRightInd w:val="0"/>
        <w:snapToGrid w:val="0"/>
        <w:spacing w:before="0" w:line="440" w:lineRule="exact"/>
        <w:jc w:val="left"/>
        <w:rPr>
          <w:sz w:val="24"/>
          <w:szCs w:val="24"/>
        </w:rPr>
      </w:pPr>
      <w:r>
        <w:rPr>
          <w:rFonts w:hint="eastAsia"/>
          <w:sz w:val="24"/>
        </w:rPr>
        <w:t>第二部分 2021年度单位决算情况说明</w:t>
      </w:r>
    </w:p>
    <w:p>
      <w:pPr>
        <w:pStyle w:val="22"/>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22"/>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22"/>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22"/>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22"/>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22"/>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22"/>
        <w:adjustRightInd w:val="0"/>
        <w:snapToGrid w:val="0"/>
        <w:spacing w:line="440" w:lineRule="exact"/>
        <w:jc w:val="left"/>
        <w:rPr>
          <w:rFonts w:ascii="仿宋" w:hAnsi="仿宋" w:eastAsia="仿宋" w:cstheme="minorBidi"/>
          <w:sz w:val="24"/>
        </w:rPr>
      </w:pPr>
      <w:r>
        <w:rPr>
          <w:rFonts w:hint="eastAsia"/>
          <w:sz w:val="24"/>
        </w:rPr>
        <w:t>七、“三公”经费财政拨款支出决算情况说明</w:t>
      </w:r>
    </w:p>
    <w:p>
      <w:pPr>
        <w:pStyle w:val="22"/>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22"/>
        <w:adjustRightInd w:val="0"/>
        <w:snapToGrid w:val="0"/>
        <w:spacing w:line="440" w:lineRule="exact"/>
        <w:jc w:val="left"/>
        <w:rPr>
          <w:sz w:val="24"/>
        </w:rPr>
      </w:pPr>
      <w:r>
        <w:rPr>
          <w:rFonts w:hint="eastAsia"/>
          <w:sz w:val="24"/>
        </w:rPr>
        <w:t>九、国有资本经营预算支出决算情况说明</w:t>
      </w:r>
    </w:p>
    <w:p>
      <w:pPr>
        <w:pStyle w:val="22"/>
        <w:adjustRightInd w:val="0"/>
        <w:snapToGrid w:val="0"/>
        <w:spacing w:line="440" w:lineRule="exact"/>
        <w:jc w:val="left"/>
        <w:rPr>
          <w:sz w:val="24"/>
        </w:rPr>
      </w:pPr>
      <w:r>
        <w:rPr>
          <w:rFonts w:hint="eastAsia"/>
          <w:sz w:val="24"/>
        </w:rPr>
        <w:t>十、其他重要事项的情况说明</w:t>
      </w:r>
    </w:p>
    <w:p>
      <w:pPr>
        <w:pStyle w:val="21"/>
        <w:adjustRightInd w:val="0"/>
        <w:snapToGrid w:val="0"/>
        <w:spacing w:before="0" w:line="440" w:lineRule="exact"/>
        <w:jc w:val="left"/>
        <w:rPr>
          <w:rFonts w:cstheme="minorBidi"/>
          <w:sz w:val="24"/>
          <w:szCs w:val="24"/>
        </w:rPr>
      </w:pPr>
      <w:r>
        <w:rPr>
          <w:rFonts w:hint="eastAsia"/>
          <w:sz w:val="24"/>
        </w:rPr>
        <w:t>第三部分名词解释</w:t>
      </w:r>
    </w:p>
    <w:p>
      <w:pPr>
        <w:pStyle w:val="21"/>
        <w:adjustRightInd w:val="0"/>
        <w:snapToGrid w:val="0"/>
        <w:spacing w:before="0" w:line="440" w:lineRule="exact"/>
        <w:jc w:val="left"/>
        <w:rPr>
          <w:rFonts w:cstheme="minorBidi"/>
          <w:sz w:val="24"/>
          <w:szCs w:val="24"/>
        </w:rPr>
      </w:pPr>
      <w:r>
        <w:rPr>
          <w:rFonts w:hint="eastAsia"/>
          <w:sz w:val="24"/>
        </w:rPr>
        <w:t>第四部分附件</w:t>
      </w:r>
    </w:p>
    <w:p>
      <w:pPr>
        <w:pStyle w:val="21"/>
        <w:adjustRightInd w:val="0"/>
        <w:snapToGrid w:val="0"/>
        <w:spacing w:before="0" w:line="440" w:lineRule="exact"/>
        <w:jc w:val="left"/>
        <w:rPr>
          <w:rFonts w:cstheme="minorBidi"/>
          <w:sz w:val="24"/>
          <w:szCs w:val="24"/>
        </w:rPr>
      </w:pPr>
      <w:r>
        <w:rPr>
          <w:rFonts w:hint="eastAsia"/>
          <w:sz w:val="24"/>
        </w:rPr>
        <w:t>第五部分附表</w:t>
      </w:r>
    </w:p>
    <w:p>
      <w:pPr>
        <w:pStyle w:val="22"/>
        <w:adjustRightInd w:val="0"/>
        <w:snapToGrid w:val="0"/>
        <w:spacing w:line="440" w:lineRule="exact"/>
        <w:jc w:val="left"/>
        <w:rPr>
          <w:sz w:val="24"/>
        </w:rPr>
      </w:pPr>
      <w:r>
        <w:rPr>
          <w:rFonts w:hint="eastAsia"/>
          <w:sz w:val="24"/>
        </w:rPr>
        <w:t>一、收入支出决算总表</w:t>
      </w:r>
    </w:p>
    <w:p>
      <w:pPr>
        <w:pStyle w:val="22"/>
        <w:adjustRightInd w:val="0"/>
        <w:snapToGrid w:val="0"/>
        <w:spacing w:line="440" w:lineRule="exact"/>
        <w:jc w:val="left"/>
        <w:rPr>
          <w:sz w:val="24"/>
        </w:rPr>
      </w:pPr>
      <w:r>
        <w:rPr>
          <w:rFonts w:hint="eastAsia"/>
          <w:sz w:val="24"/>
        </w:rPr>
        <w:t>二、收入决算表</w:t>
      </w:r>
    </w:p>
    <w:p>
      <w:pPr>
        <w:pStyle w:val="22"/>
        <w:adjustRightInd w:val="0"/>
        <w:snapToGrid w:val="0"/>
        <w:spacing w:line="440" w:lineRule="exact"/>
        <w:jc w:val="left"/>
        <w:rPr>
          <w:sz w:val="24"/>
        </w:rPr>
      </w:pPr>
      <w:r>
        <w:rPr>
          <w:rFonts w:hint="eastAsia"/>
          <w:sz w:val="24"/>
        </w:rPr>
        <w:t>三、支出决算表</w:t>
      </w:r>
    </w:p>
    <w:p>
      <w:pPr>
        <w:pStyle w:val="22"/>
        <w:adjustRightInd w:val="0"/>
        <w:snapToGrid w:val="0"/>
        <w:spacing w:line="440" w:lineRule="exact"/>
        <w:jc w:val="left"/>
        <w:rPr>
          <w:sz w:val="24"/>
        </w:rPr>
      </w:pPr>
      <w:r>
        <w:rPr>
          <w:rFonts w:hint="eastAsia"/>
          <w:sz w:val="24"/>
        </w:rPr>
        <w:t>四、财政拨款收入支出决算总表</w:t>
      </w:r>
    </w:p>
    <w:p>
      <w:pPr>
        <w:pStyle w:val="22"/>
        <w:adjustRightInd w:val="0"/>
        <w:snapToGrid w:val="0"/>
        <w:spacing w:line="440" w:lineRule="exact"/>
        <w:jc w:val="left"/>
        <w:rPr>
          <w:sz w:val="24"/>
        </w:rPr>
      </w:pPr>
      <w:r>
        <w:rPr>
          <w:rFonts w:hint="eastAsia"/>
          <w:sz w:val="24"/>
        </w:rPr>
        <w:t>五、财政拨款支出决算明细表</w:t>
      </w:r>
    </w:p>
    <w:p>
      <w:pPr>
        <w:pStyle w:val="22"/>
        <w:adjustRightInd w:val="0"/>
        <w:snapToGrid w:val="0"/>
        <w:spacing w:line="440" w:lineRule="exact"/>
        <w:jc w:val="left"/>
        <w:rPr>
          <w:sz w:val="24"/>
        </w:rPr>
      </w:pPr>
      <w:r>
        <w:rPr>
          <w:rFonts w:hint="eastAsia"/>
          <w:sz w:val="24"/>
        </w:rPr>
        <w:t>六、一般公共预算财政拨款支出决算表</w:t>
      </w:r>
    </w:p>
    <w:p>
      <w:pPr>
        <w:pStyle w:val="22"/>
        <w:adjustRightInd w:val="0"/>
        <w:snapToGrid w:val="0"/>
        <w:spacing w:line="440" w:lineRule="exact"/>
        <w:jc w:val="left"/>
        <w:rPr>
          <w:sz w:val="24"/>
        </w:rPr>
      </w:pPr>
      <w:r>
        <w:rPr>
          <w:rFonts w:hint="eastAsia"/>
          <w:sz w:val="24"/>
        </w:rPr>
        <w:t>七、一般公共预算财政拨款支出决算明细表</w:t>
      </w:r>
    </w:p>
    <w:p>
      <w:pPr>
        <w:pStyle w:val="22"/>
        <w:adjustRightInd w:val="0"/>
        <w:snapToGrid w:val="0"/>
        <w:spacing w:line="440" w:lineRule="exact"/>
        <w:jc w:val="left"/>
        <w:rPr>
          <w:sz w:val="24"/>
        </w:rPr>
      </w:pPr>
      <w:r>
        <w:rPr>
          <w:rFonts w:hint="eastAsia"/>
          <w:sz w:val="24"/>
        </w:rPr>
        <w:t>八、一般公共预算财政拨款基本支出决算表</w:t>
      </w:r>
    </w:p>
    <w:p>
      <w:pPr>
        <w:pStyle w:val="22"/>
        <w:adjustRightInd w:val="0"/>
        <w:snapToGrid w:val="0"/>
        <w:spacing w:line="440" w:lineRule="exact"/>
        <w:jc w:val="left"/>
        <w:rPr>
          <w:sz w:val="24"/>
        </w:rPr>
      </w:pPr>
      <w:r>
        <w:rPr>
          <w:rFonts w:hint="eastAsia"/>
          <w:sz w:val="24"/>
        </w:rPr>
        <w:t>九、一般公共预算财政拨款项目支出决算表</w:t>
      </w:r>
    </w:p>
    <w:p>
      <w:pPr>
        <w:pStyle w:val="22"/>
        <w:adjustRightInd w:val="0"/>
        <w:snapToGrid w:val="0"/>
        <w:spacing w:line="440" w:lineRule="exact"/>
        <w:jc w:val="left"/>
        <w:rPr>
          <w:sz w:val="24"/>
        </w:rPr>
      </w:pPr>
      <w:r>
        <w:rPr>
          <w:rFonts w:hint="eastAsia"/>
          <w:sz w:val="24"/>
        </w:rPr>
        <w:t>十、一般公共预算财政拨款“三公”经费支出决算表</w:t>
      </w:r>
    </w:p>
    <w:p>
      <w:pPr>
        <w:pStyle w:val="22"/>
        <w:adjustRightInd w:val="0"/>
        <w:snapToGrid w:val="0"/>
        <w:spacing w:line="440" w:lineRule="exact"/>
        <w:jc w:val="left"/>
        <w:rPr>
          <w:sz w:val="24"/>
        </w:rPr>
      </w:pPr>
      <w:r>
        <w:rPr>
          <w:rFonts w:hint="eastAsia"/>
          <w:sz w:val="24"/>
        </w:rPr>
        <w:t>十一、政府性基金预算财政拨款收入支出决算表</w:t>
      </w:r>
    </w:p>
    <w:p>
      <w:pPr>
        <w:pStyle w:val="22"/>
        <w:adjustRightInd w:val="0"/>
        <w:snapToGrid w:val="0"/>
        <w:spacing w:line="440" w:lineRule="exact"/>
        <w:jc w:val="left"/>
        <w:rPr>
          <w:sz w:val="24"/>
        </w:rPr>
      </w:pPr>
      <w:r>
        <w:rPr>
          <w:rFonts w:hint="eastAsia"/>
          <w:sz w:val="24"/>
        </w:rPr>
        <w:t>十二、政府性基金预算财政拨款“三公”经费支出决算表</w:t>
      </w:r>
    </w:p>
    <w:p>
      <w:pPr>
        <w:pStyle w:val="22"/>
        <w:adjustRightInd w:val="0"/>
        <w:snapToGrid w:val="0"/>
        <w:spacing w:line="440" w:lineRule="exact"/>
        <w:jc w:val="left"/>
        <w:rPr>
          <w:sz w:val="24"/>
        </w:rPr>
      </w:pPr>
      <w:r>
        <w:rPr>
          <w:rFonts w:hint="eastAsia"/>
          <w:sz w:val="24"/>
        </w:rPr>
        <w:t>十三、国有资本经营预算财政拨款收入支出决算表</w:t>
      </w:r>
    </w:p>
    <w:p>
      <w:pPr>
        <w:pStyle w:val="22"/>
        <w:adjustRightInd w:val="0"/>
        <w:snapToGrid w:val="0"/>
        <w:spacing w:line="440" w:lineRule="exact"/>
        <w:jc w:val="left"/>
        <w:rPr>
          <w:sz w:val="24"/>
        </w:rPr>
      </w:pPr>
      <w:r>
        <w:rPr>
          <w:rFonts w:hint="eastAsia"/>
          <w:sz w:val="24"/>
        </w:rPr>
        <w:t>十四、国有资本经营预算财政拨款支出决算表</w:t>
      </w:r>
    </w:p>
    <w:p>
      <w:pPr>
        <w:widowControl/>
        <w:spacing w:line="440" w:lineRule="exact"/>
        <w:jc w:val="left"/>
        <w:rPr>
          <w:rFonts w:ascii="仿宋" w:hAnsi="仿宋" w:eastAsia="仿宋"/>
          <w:bCs/>
          <w:kern w:val="44"/>
          <w:sz w:val="24"/>
        </w:rPr>
      </w:pPr>
      <w:bookmarkStart w:id="12" w:name="_Toc15377196"/>
      <w:bookmarkStart w:id="13" w:name="_Toc15396599"/>
      <w:r>
        <w:br w:type="page"/>
      </w:r>
    </w:p>
    <w:p>
      <w:pPr>
        <w:pStyle w:val="13"/>
        <w:jc w:val="center"/>
        <w:rPr>
          <w:rStyle w:val="31"/>
          <w:rFonts w:ascii="黑体" w:hAnsi="黑体" w:eastAsia="黑体"/>
          <w:b/>
          <w:bCs w:val="0"/>
        </w:rPr>
      </w:pPr>
      <w:r>
        <w:rPr>
          <w:rFonts w:hint="eastAsia" w:ascii="黑体" w:hAnsi="黑体" w:eastAsia="黑体"/>
          <w:b w:val="0"/>
        </w:rPr>
        <w:t>第一部分单位</w:t>
      </w:r>
      <w:r>
        <w:rPr>
          <w:rStyle w:val="31"/>
          <w:rFonts w:hint="eastAsia" w:ascii="黑体" w:hAnsi="黑体" w:eastAsia="黑体"/>
          <w:b w:val="0"/>
          <w:bCs w:val="0"/>
        </w:rPr>
        <w:t>概况</w:t>
      </w:r>
      <w:bookmarkEnd w:id="12"/>
      <w:bookmarkEnd w:id="13"/>
    </w:p>
    <w:p>
      <w:pPr>
        <w:widowControl/>
        <w:jc w:val="left"/>
        <w:rPr>
          <w:rFonts w:ascii="黑体" w:eastAsia="黑体"/>
          <w:sz w:val="32"/>
          <w:szCs w:val="32"/>
        </w:rPr>
      </w:pPr>
    </w:p>
    <w:p>
      <w:pPr>
        <w:pStyle w:val="14"/>
        <w:numPr>
          <w:numId w:val="0"/>
        </w:numPr>
        <w:rPr>
          <w:rStyle w:val="32"/>
          <w:rFonts w:ascii="黑体" w:hAnsi="黑体" w:eastAsia="黑体"/>
          <w:b w:val="0"/>
          <w:bCs w:val="0"/>
        </w:rPr>
      </w:pPr>
      <w:bookmarkStart w:id="14" w:name="_Toc15377197"/>
      <w:bookmarkStart w:id="15" w:name="_Toc15396600"/>
      <w:r>
        <w:rPr>
          <w:rStyle w:val="32"/>
          <w:rFonts w:hint="eastAsia" w:ascii="黑体" w:hAnsi="黑体" w:eastAsia="黑体"/>
          <w:b w:val="0"/>
          <w:bCs w:val="0"/>
          <w:lang w:val="en-US" w:eastAsia="zh-CN"/>
        </w:rPr>
        <w:t>一、</w:t>
      </w:r>
      <w:r>
        <w:rPr>
          <w:rStyle w:val="32"/>
          <w:rFonts w:hint="eastAsia" w:ascii="黑体" w:hAnsi="黑体" w:eastAsia="黑体"/>
          <w:b w:val="0"/>
          <w:bCs w:val="0"/>
        </w:rPr>
        <w:t>职能简介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u w:val="none" w:color="46CD7E"/>
          <w:shd w:val="clear" w:fill="auto"/>
          <w:lang w:eastAsia="zh-CN"/>
        </w:rPr>
        <w:t>.</w:t>
      </w:r>
      <w:r>
        <w:rPr>
          <w:rFonts w:hint="eastAsia" w:ascii="仿宋_GB2312" w:hAnsi="仿宋_GB2312" w:eastAsia="仿宋_GB2312" w:cs="仿宋_GB2312"/>
          <w:sz w:val="32"/>
          <w:szCs w:val="32"/>
        </w:rPr>
        <w:t>执行本级人民代表大会的决议和上级国家行政机关的决定和命令，发布决定和命令</w:t>
      </w:r>
      <w: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u w:val="none" w:color="46CD7E"/>
          <w:shd w:val="clear" w:fill="auto"/>
          <w:lang w:eastAsia="zh-CN"/>
        </w:rPr>
        <w:t>.</w:t>
      </w:r>
      <w:r>
        <w:rPr>
          <w:rFonts w:hint="eastAsia" w:ascii="仿宋_GB2312" w:hAnsi="仿宋_GB2312" w:eastAsia="仿宋_GB2312" w:cs="仿宋_GB2312"/>
          <w:sz w:val="32"/>
          <w:szCs w:val="32"/>
        </w:rPr>
        <w:t>制定并组织实施村镇建设规划，部署重点工程建设，地方道路建设及公共设施、水利设施的管理，负责土地、林木、水等自然资源和</w:t>
      </w:r>
      <w:r>
        <w:fldChar w:fldCharType="begin"/>
      </w:r>
      <w:r>
        <w:instrText xml:space="preserve"> HYPERLINK "http://www.so.com/s?q=%E7%94%9F%E6%80%81%E7%8E%AF%E5%A2%83&amp;ie=utf-8&amp;src=internal_wenda_recommend_text" </w:instrText>
      </w:r>
      <w:r>
        <w:fldChar w:fldCharType="separate"/>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的保护，做好护林防火工作</w:t>
      </w:r>
      <w:r>
        <w:t>。</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u w:val="none" w:color="46CD7E"/>
          <w:shd w:val="clear" w:fill="auto"/>
          <w:lang w:eastAsia="zh-CN"/>
        </w:rPr>
        <w:t>.</w:t>
      </w:r>
      <w:r>
        <w:rPr>
          <w:rFonts w:hint="eastAsia" w:ascii="仿宋_GB2312" w:hAnsi="仿宋_GB2312" w:eastAsia="仿宋_GB2312" w:cs="仿宋_GB2312"/>
          <w:sz w:val="32"/>
          <w:szCs w:val="32"/>
        </w:rPr>
        <w:t>执行本行政区域内的经济和社会发展计划、预算，管理本行政区域内的经济、教育、科学、文化、卫生、体育事业和财政、民政、公安、司法行政、计划生育等行政工作</w:t>
      </w:r>
      <w:r>
        <w:t>。</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u w:val="none" w:color="46CD7E"/>
          <w:shd w:val="clear" w:fill="auto"/>
          <w:lang w:eastAsia="zh-CN"/>
        </w:rPr>
        <w:t>.</w:t>
      </w:r>
      <w:r>
        <w:rPr>
          <w:rFonts w:hint="eastAsia" w:ascii="仿宋_GB2312" w:hAnsi="仿宋_GB2312" w:eastAsia="仿宋_GB2312" w:cs="仿宋_GB2312"/>
          <w:sz w:val="32"/>
          <w:szCs w:val="32"/>
        </w:rPr>
        <w:t>引导发展农村经济</w:t>
      </w:r>
      <w:r>
        <w:t>，</w:t>
      </w:r>
      <w:r>
        <w:rPr>
          <w:rFonts w:hint="eastAsia" w:ascii="仿宋_GB2312" w:hAnsi="仿宋_GB2312" w:eastAsia="仿宋_GB2312" w:cs="仿宋_GB2312"/>
          <w:sz w:val="32"/>
          <w:szCs w:val="32"/>
        </w:rPr>
        <w:t>加强基础设施建设和市场培育、产业发展，统筹协调重点项目建设</w:t>
      </w:r>
      <w:r>
        <w:t>。</w:t>
      </w:r>
    </w:p>
    <w:p>
      <w:pPr>
        <w:ind w:firstLine="640" w:firstLineChars="200"/>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u w:val="none" w:color="46CD7E"/>
          <w:shd w:val="clear" w:fill="auto"/>
          <w:lang w:eastAsia="zh-CN"/>
        </w:rPr>
        <w:t>.</w:t>
      </w:r>
      <w:r>
        <w:rPr>
          <w:rFonts w:hint="eastAsia" w:ascii="仿宋_GB2312" w:hAnsi="仿宋_GB2312" w:eastAsia="仿宋_GB2312" w:cs="仿宋_GB2312"/>
          <w:sz w:val="32"/>
          <w:szCs w:val="32"/>
        </w:rPr>
        <w:t>办理同级和上级党委政府交办的其他事项。</w:t>
      </w:r>
    </w:p>
    <w:p>
      <w:pPr>
        <w:pStyle w:val="14"/>
        <w:rPr>
          <w:rFonts w:ascii="黑体" w:hAnsi="黑体" w:eastAsia="黑体"/>
          <w:b w:val="0"/>
        </w:rPr>
      </w:pPr>
      <w:r>
        <w:rPr>
          <w:rFonts w:hint="eastAsia" w:ascii="黑体" w:hAnsi="黑体" w:eastAsia="黑体"/>
          <w:b w:val="0"/>
          <w:u w:val="none" w:color="FFB03A"/>
          <w:shd w:val="clear" w:fill="auto"/>
        </w:rPr>
        <w:t>二、</w:t>
      </w:r>
      <w:r>
        <w:rPr>
          <w:rFonts w:hint="eastAsia" w:ascii="黑体" w:hAnsi="黑体" w:eastAsia="黑体"/>
          <w:b w:val="0"/>
        </w:rPr>
        <w:t>2021年重点工作</w:t>
      </w:r>
      <w:bookmarkEnd w:id="14"/>
      <w:bookmarkEnd w:id="15"/>
      <w:r>
        <w:rPr>
          <w:rFonts w:hint="eastAsia" w:ascii="黑体" w:hAnsi="黑体" w:eastAsia="黑体"/>
          <w:b w:val="0"/>
        </w:rPr>
        <w:t>完成情况</w:t>
      </w:r>
    </w:p>
    <w:p>
      <w:pPr>
        <w:spacing w:line="560" w:lineRule="exact"/>
        <w:ind w:firstLine="643" w:firstLineChars="200"/>
        <w:rPr>
          <w:rFonts w:ascii="仿宋_GB2312" w:hAnsi="仿宋_GB2312" w:eastAsia="仿宋_GB2312" w:cs="仿宋_GB2312"/>
          <w:sz w:val="32"/>
          <w:szCs w:val="40"/>
        </w:rPr>
      </w:pPr>
      <w:r>
        <w:rPr>
          <w:rFonts w:hint="eastAsia" w:ascii="楷体_GB2312" w:hAnsi="楷体_GB2312" w:eastAsia="楷体_GB2312" w:cs="楷体_GB2312"/>
          <w:b/>
          <w:bCs/>
          <w:sz w:val="32"/>
          <w:szCs w:val="40"/>
        </w:rPr>
        <w:t>（一）乡村振兴起步有力。</w:t>
      </w:r>
      <w:r>
        <w:rPr>
          <w:rFonts w:hint="eastAsia" w:ascii="仿宋_GB2312" w:hAnsi="仿宋_GB2312" w:eastAsia="仿宋_GB2312" w:cs="仿宋_GB2312"/>
          <w:b/>
          <w:bCs/>
          <w:sz w:val="32"/>
          <w:szCs w:val="40"/>
        </w:rPr>
        <w:t>一是</w:t>
      </w:r>
      <w:r>
        <w:rPr>
          <w:rFonts w:hint="eastAsia" w:ascii="仿宋_GB2312" w:hAnsi="仿宋_GB2312" w:eastAsia="仿宋_GB2312" w:cs="仿宋_GB2312"/>
          <w:sz w:val="32"/>
          <w:szCs w:val="40"/>
        </w:rPr>
        <w:t>按照“四个不摘”的要求，保持现有帮扶政策、资金支持、帮扶力量总体稳定持续。</w:t>
      </w:r>
      <w:r>
        <w:rPr>
          <w:rFonts w:hint="eastAsia" w:ascii="仿宋_GB2312" w:hAnsi="仿宋_GB2312" w:eastAsia="仿宋_GB2312" w:cs="仿宋_GB2312"/>
          <w:b/>
          <w:bCs/>
          <w:sz w:val="32"/>
          <w:szCs w:val="40"/>
        </w:rPr>
        <w:t>二是</w:t>
      </w:r>
      <w:r>
        <w:rPr>
          <w:rFonts w:hint="eastAsia" w:ascii="仿宋_GB2312" w:hAnsi="仿宋_GB2312" w:eastAsia="仿宋_GB2312" w:cs="仿宋_GB2312"/>
          <w:sz w:val="32"/>
          <w:szCs w:val="40"/>
        </w:rPr>
        <w:t>对监测户43户162人开展双重叠加帮扶工作，切实防止返贫、致贫。</w:t>
      </w:r>
      <w:r>
        <w:rPr>
          <w:rFonts w:hint="eastAsia" w:ascii="仿宋_GB2312" w:hAnsi="仿宋_GB2312" w:eastAsia="仿宋_GB2312" w:cs="仿宋_GB2312"/>
          <w:b/>
          <w:bCs/>
          <w:sz w:val="32"/>
          <w:szCs w:val="40"/>
        </w:rPr>
        <w:t>三是</w:t>
      </w:r>
      <w:r>
        <w:rPr>
          <w:rFonts w:hint="eastAsia" w:ascii="仿宋_GB2312" w:hAnsi="仿宋_GB2312" w:eastAsia="仿宋_GB2312" w:cs="仿宋_GB2312"/>
          <w:sz w:val="32"/>
          <w:szCs w:val="40"/>
        </w:rPr>
        <w:t>大力发展村集体经济，种植茶叶1000余亩、中药材2000余亩，青花椒1300余亩，核桃2000亩，猕猴桃480亩。</w:t>
      </w:r>
    </w:p>
    <w:p>
      <w:pPr>
        <w:spacing w:line="560" w:lineRule="exact"/>
        <w:ind w:firstLine="643" w:firstLineChars="200"/>
        <w:rPr>
          <w:rFonts w:ascii="仿宋_GB2312" w:hAnsi="仿宋_GB2312" w:eastAsia="仿宋_GB2312" w:cs="仿宋_GB2312"/>
          <w:sz w:val="32"/>
          <w:szCs w:val="40"/>
        </w:rPr>
      </w:pPr>
      <w:r>
        <w:rPr>
          <w:rFonts w:hint="eastAsia" w:ascii="楷体_GB2312" w:hAnsi="楷体_GB2312" w:eastAsia="楷体_GB2312" w:cs="楷体_GB2312"/>
          <w:b/>
          <w:bCs/>
          <w:sz w:val="32"/>
          <w:szCs w:val="40"/>
        </w:rPr>
        <w:t>（二）基础设施提档升级。</w:t>
      </w:r>
      <w:r>
        <w:rPr>
          <w:rFonts w:hint="eastAsia" w:ascii="仿宋_GB2312" w:hAnsi="仿宋_GB2312" w:eastAsia="仿宋_GB2312" w:cs="仿宋_GB2312"/>
          <w:b/>
          <w:bCs/>
          <w:sz w:val="32"/>
          <w:szCs w:val="40"/>
        </w:rPr>
        <w:t>一是</w:t>
      </w:r>
      <w:r>
        <w:rPr>
          <w:rFonts w:hint="eastAsia" w:ascii="仿宋_GB2312" w:hAnsi="仿宋_GB2312" w:eastAsia="仿宋_GB2312" w:cs="仿宋_GB2312"/>
          <w:sz w:val="32"/>
          <w:szCs w:val="40"/>
        </w:rPr>
        <w:t>新建道路7.7公里，拓宽道路4.5公里。</w:t>
      </w:r>
      <w:r>
        <w:rPr>
          <w:rFonts w:hint="eastAsia" w:ascii="仿宋_GB2312" w:hAnsi="仿宋_GB2312" w:eastAsia="仿宋_GB2312" w:cs="仿宋_GB2312"/>
          <w:b/>
          <w:bCs/>
          <w:sz w:val="32"/>
          <w:szCs w:val="40"/>
        </w:rPr>
        <w:t>二是</w:t>
      </w:r>
      <w:r>
        <w:rPr>
          <w:rFonts w:hint="eastAsia" w:ascii="仿宋_GB2312" w:hAnsi="仿宋_GB2312" w:eastAsia="仿宋_GB2312" w:cs="仿宋_GB2312"/>
          <w:sz w:val="32"/>
          <w:szCs w:val="40"/>
        </w:rPr>
        <w:t>推进实施撤并建制村道路畅通工程。</w:t>
      </w:r>
      <w:r>
        <w:rPr>
          <w:rFonts w:hint="eastAsia" w:ascii="仿宋_GB2312" w:hAnsi="仿宋_GB2312" w:eastAsia="仿宋_GB2312" w:cs="仿宋_GB2312"/>
          <w:b/>
          <w:bCs/>
          <w:sz w:val="32"/>
          <w:szCs w:val="40"/>
        </w:rPr>
        <w:t>三是</w:t>
      </w:r>
      <w:r>
        <w:rPr>
          <w:rFonts w:hint="eastAsia" w:ascii="仿宋_GB2312" w:hAnsi="仿宋_GB2312" w:eastAsia="仿宋_GB2312" w:cs="仿宋_GB2312"/>
          <w:sz w:val="32"/>
          <w:szCs w:val="40"/>
        </w:rPr>
        <w:t>对16处安全饮水水毁工程进行维修，启动九层社区安全饮水工程和邱家梁水库除险加固工程。</w:t>
      </w:r>
    </w:p>
    <w:p>
      <w:pPr>
        <w:spacing w:line="560" w:lineRule="exact"/>
        <w:ind w:firstLine="643" w:firstLineChars="200"/>
        <w:rPr>
          <w:rFonts w:ascii="仿宋_GB2312" w:hAnsi="仿宋_GB2312" w:eastAsia="仿宋_GB2312" w:cs="仿宋_GB2312"/>
          <w:sz w:val="32"/>
          <w:szCs w:val="40"/>
        </w:rPr>
      </w:pPr>
      <w:r>
        <w:rPr>
          <w:rFonts w:hint="eastAsia" w:ascii="楷体_GB2312" w:hAnsi="楷体_GB2312" w:eastAsia="楷体_GB2312" w:cs="楷体_GB2312"/>
          <w:b/>
          <w:bCs/>
          <w:sz w:val="32"/>
          <w:szCs w:val="40"/>
        </w:rPr>
        <w:t>（三）民生保障持续改善。</w:t>
      </w:r>
      <w:r>
        <w:rPr>
          <w:rFonts w:hint="eastAsia" w:ascii="仿宋_GB2312" w:hAnsi="仿宋_GB2312" w:eastAsia="仿宋_GB2312" w:cs="仿宋_GB2312"/>
          <w:b/>
          <w:bCs/>
          <w:sz w:val="32"/>
          <w:szCs w:val="40"/>
        </w:rPr>
        <w:t>一是</w:t>
      </w:r>
      <w:r>
        <w:rPr>
          <w:rFonts w:hint="eastAsia" w:ascii="仿宋_GB2312" w:hAnsi="仿宋_GB2312" w:eastAsia="仿宋_GB2312" w:cs="仿宋_GB2312"/>
          <w:sz w:val="32"/>
          <w:szCs w:val="40"/>
        </w:rPr>
        <w:t>为5300余名最低生活保障人员发放生活保障金600余万元。为200余名特困供养人员发放补贴100余万元。</w:t>
      </w:r>
      <w:r>
        <w:rPr>
          <w:rFonts w:hint="eastAsia" w:ascii="仿宋_GB2312" w:hAnsi="仿宋_GB2312" w:eastAsia="仿宋_GB2312" w:cs="仿宋_GB2312"/>
          <w:b/>
          <w:bCs/>
          <w:sz w:val="32"/>
          <w:szCs w:val="40"/>
        </w:rPr>
        <w:t>二是</w:t>
      </w:r>
      <w:r>
        <w:rPr>
          <w:rFonts w:hint="eastAsia" w:ascii="仿宋_GB2312" w:hAnsi="仿宋_GB2312" w:eastAsia="仿宋_GB2312" w:cs="仿宋_GB2312"/>
          <w:sz w:val="32"/>
          <w:szCs w:val="40"/>
        </w:rPr>
        <w:t>开展12岁以上人群疫苗接种，确保应接尽接。目前，已接种27909人，接种率98.72%，</w:t>
      </w:r>
      <w:r>
        <w:rPr>
          <w:rFonts w:hint="eastAsia" w:ascii="仿宋_GB2312" w:hAnsi="仿宋_GB2312" w:eastAsia="仿宋_GB2312" w:cs="仿宋_GB2312"/>
          <w:b/>
          <w:bCs/>
          <w:sz w:val="32"/>
          <w:szCs w:val="40"/>
        </w:rPr>
        <w:t>三是</w:t>
      </w:r>
      <w:r>
        <w:rPr>
          <w:rFonts w:hint="eastAsia" w:ascii="仿宋_GB2312" w:hAnsi="仿宋_GB2312" w:eastAsia="仿宋_GB2312" w:cs="仿宋_GB2312"/>
          <w:sz w:val="32"/>
          <w:szCs w:val="40"/>
        </w:rPr>
        <w:t>严格按照“三个避让”“三个紧急撤离”刚性要求，防汛期间未发生人员伤亡事件。</w:t>
      </w:r>
    </w:p>
    <w:p>
      <w:pPr>
        <w:spacing w:line="560" w:lineRule="exact"/>
        <w:ind w:firstLine="643" w:firstLineChars="200"/>
        <w:rPr>
          <w:rFonts w:ascii="仿宋_GB2312" w:hAnsi="仿宋_GB2312" w:eastAsia="仿宋_GB2312" w:cs="仿宋_GB2312"/>
          <w:sz w:val="32"/>
          <w:szCs w:val="40"/>
        </w:rPr>
      </w:pPr>
      <w:r>
        <w:rPr>
          <w:rFonts w:hint="eastAsia" w:ascii="楷体_GB2312" w:hAnsi="楷体_GB2312" w:eastAsia="楷体_GB2312" w:cs="楷体_GB2312"/>
          <w:b/>
          <w:bCs/>
          <w:sz w:val="32"/>
          <w:szCs w:val="40"/>
        </w:rPr>
        <w:t>（四）生态文明建设深入推进。</w:t>
      </w:r>
      <w:r>
        <w:rPr>
          <w:rFonts w:hint="eastAsia" w:ascii="仿宋_GB2312" w:hAnsi="仿宋_GB2312" w:eastAsia="仿宋_GB2312" w:cs="仿宋_GB2312"/>
          <w:b/>
          <w:bCs/>
          <w:sz w:val="32"/>
          <w:szCs w:val="40"/>
        </w:rPr>
        <w:t>一是</w:t>
      </w:r>
      <w:r>
        <w:rPr>
          <w:rFonts w:hint="eastAsia" w:ascii="仿宋_GB2312" w:hAnsi="仿宋_GB2312" w:eastAsia="仿宋_GB2312" w:cs="仿宋_GB2312"/>
          <w:sz w:val="32"/>
          <w:szCs w:val="40"/>
        </w:rPr>
        <w:t>采取购买服务的方式，积极筹措资金，购置垃圾清运车3辆，垃圾箱75个，新增环卫工人15人。</w:t>
      </w:r>
      <w:r>
        <w:rPr>
          <w:rFonts w:hint="eastAsia" w:ascii="仿宋_GB2312" w:hAnsi="仿宋_GB2312" w:eastAsia="仿宋_GB2312" w:cs="仿宋_GB2312"/>
          <w:b/>
          <w:bCs/>
          <w:sz w:val="32"/>
          <w:szCs w:val="40"/>
        </w:rPr>
        <w:t>二是</w:t>
      </w:r>
      <w:r>
        <w:rPr>
          <w:rFonts w:hint="eastAsia" w:ascii="仿宋_GB2312" w:hAnsi="仿宋_GB2312" w:eastAsia="仿宋_GB2312" w:cs="仿宋_GB2312"/>
          <w:sz w:val="32"/>
          <w:szCs w:val="40"/>
        </w:rPr>
        <w:t>积极探索秸秆还田再利用技术，切实抓好秸秆禁燃工作。</w:t>
      </w:r>
      <w:r>
        <w:rPr>
          <w:rFonts w:hint="eastAsia" w:ascii="仿宋_GB2312" w:hAnsi="仿宋_GB2312" w:eastAsia="仿宋_GB2312" w:cs="仿宋_GB2312"/>
          <w:b/>
          <w:bCs/>
          <w:sz w:val="32"/>
          <w:szCs w:val="40"/>
        </w:rPr>
        <w:t>三是</w:t>
      </w:r>
      <w:r>
        <w:rPr>
          <w:rFonts w:hint="eastAsia" w:ascii="仿宋_GB2312" w:hAnsi="仿宋_GB2312" w:eastAsia="仿宋_GB2312" w:cs="仿宋_GB2312"/>
          <w:sz w:val="32"/>
          <w:szCs w:val="40"/>
        </w:rPr>
        <w:t>建立农村生活垃圾治理制度、村规民约和资金投入机制，实现垃圾池、垃圾箱全覆盖，村容村貌焕然一新。</w:t>
      </w:r>
    </w:p>
    <w:p>
      <w:pPr>
        <w:spacing w:line="560" w:lineRule="exact"/>
        <w:ind w:firstLine="643" w:firstLineChars="200"/>
        <w:rPr>
          <w:rFonts w:ascii="仿宋_GB2312" w:hAnsi="仿宋_GB2312" w:eastAsia="仿宋_GB2312" w:cs="仿宋_GB2312"/>
          <w:sz w:val="32"/>
          <w:szCs w:val="40"/>
        </w:rPr>
      </w:pPr>
      <w:r>
        <w:rPr>
          <w:rFonts w:hint="eastAsia" w:ascii="楷体_GB2312" w:hAnsi="楷体_GB2312" w:eastAsia="楷体_GB2312" w:cs="楷体_GB2312"/>
          <w:b/>
          <w:bCs/>
          <w:sz w:val="32"/>
          <w:szCs w:val="40"/>
        </w:rPr>
        <w:t>（五）社会治理成绩显著。</w:t>
      </w:r>
      <w:r>
        <w:rPr>
          <w:rFonts w:hint="eastAsia" w:ascii="仿宋_GB2312" w:hAnsi="仿宋_GB2312" w:eastAsia="仿宋_GB2312" w:cs="仿宋_GB2312"/>
          <w:b/>
          <w:bCs/>
          <w:sz w:val="32"/>
          <w:szCs w:val="40"/>
        </w:rPr>
        <w:t>一是</w:t>
      </w:r>
      <w:r>
        <w:rPr>
          <w:rFonts w:hint="eastAsia" w:ascii="仿宋_GB2312" w:hAnsi="仿宋_GB2312" w:eastAsia="仿宋_GB2312" w:cs="仿宋_GB2312"/>
          <w:sz w:val="32"/>
          <w:szCs w:val="40"/>
        </w:rPr>
        <w:t>健全信访工作机制，办理群众来信来访72件，群众满意率达95％，</w:t>
      </w:r>
      <w:r>
        <w:rPr>
          <w:rFonts w:hint="eastAsia" w:ascii="仿宋_GB2312" w:hAnsi="仿宋_GB2312" w:eastAsia="仿宋_GB2312" w:cs="仿宋_GB2312"/>
          <w:b/>
          <w:bCs/>
          <w:sz w:val="32"/>
          <w:szCs w:val="40"/>
        </w:rPr>
        <w:t>二是</w:t>
      </w:r>
      <w:r>
        <w:rPr>
          <w:rFonts w:hint="eastAsia" w:ascii="仿宋_GB2312" w:hAnsi="仿宋_GB2312" w:eastAsia="仿宋_GB2312" w:cs="仿宋_GB2312"/>
          <w:sz w:val="32"/>
          <w:szCs w:val="40"/>
        </w:rPr>
        <w:t>组织防灭火应急演练1次，应急救援4次，对危爆品商家进行安全检查达90余次，发放整改通知书5份，签订安全责任书80余份。</w:t>
      </w:r>
    </w:p>
    <w:p/>
    <w:p>
      <w:pPr>
        <w:widowControl/>
        <w:jc w:val="left"/>
        <w:rPr>
          <w:rFonts w:ascii="仿宋" w:hAnsi="仿宋" w:eastAsia="仿宋"/>
          <w:kern w:val="0"/>
          <w:sz w:val="32"/>
          <w:szCs w:val="32"/>
        </w:rPr>
      </w:pPr>
      <w:r>
        <w:br w:type="page"/>
      </w:r>
    </w:p>
    <w:p>
      <w:pPr>
        <w:pStyle w:val="13"/>
        <w:ind w:right="440"/>
        <w:jc w:val="center"/>
        <w:rPr>
          <w:rStyle w:val="31"/>
          <w:rFonts w:ascii="黑体" w:hAnsi="黑体" w:eastAsia="黑体"/>
          <w:b w:val="0"/>
          <w:bCs/>
        </w:rPr>
      </w:pPr>
      <w:bookmarkStart w:id="16" w:name="_Toc15396602"/>
      <w:bookmarkStart w:id="17" w:name="_Toc15377204"/>
      <w:r>
        <w:rPr>
          <w:rFonts w:hint="eastAsia" w:ascii="黑体" w:hAnsi="黑体" w:eastAsia="黑体"/>
          <w:b w:val="0"/>
        </w:rPr>
        <w:t>第二部分2021年度</w:t>
      </w:r>
      <w:r>
        <w:rPr>
          <w:rStyle w:val="31"/>
          <w:rFonts w:hint="eastAsia" w:ascii="黑体" w:hAnsi="黑体" w:eastAsia="黑体"/>
          <w:b w:val="0"/>
          <w:bCs/>
        </w:rPr>
        <w:t>单位决算情况说明</w:t>
      </w:r>
      <w:bookmarkEnd w:id="16"/>
      <w:bookmarkEnd w:id="17"/>
    </w:p>
    <w:p/>
    <w:p>
      <w:pPr>
        <w:pStyle w:val="30"/>
        <w:numPr>
          <w:ilvl w:val="0"/>
          <w:numId w:val="1"/>
        </w:numPr>
        <w:spacing w:line="600" w:lineRule="exact"/>
        <w:ind w:firstLineChars="0"/>
        <w:outlineLvl w:val="1"/>
        <w:rPr>
          <w:rStyle w:val="32"/>
          <w:rFonts w:ascii="黑体" w:hAnsi="黑体" w:eastAsia="黑体"/>
          <w:b w:val="0"/>
        </w:rPr>
      </w:pPr>
      <w:bookmarkStart w:id="18" w:name="_Toc15377205"/>
      <w:bookmarkStart w:id="19" w:name="_Toc15396603"/>
      <w:r>
        <w:rPr>
          <w:rFonts w:hint="eastAsia" w:ascii="黑体" w:hAnsi="黑体" w:eastAsia="黑体"/>
          <w:sz w:val="32"/>
          <w:szCs w:val="32"/>
        </w:rPr>
        <w:t>收</w:t>
      </w:r>
      <w:r>
        <w:rPr>
          <w:rStyle w:val="32"/>
          <w:rFonts w:hint="eastAsia" w:ascii="黑体" w:hAnsi="黑体" w:eastAsia="黑体"/>
          <w:b w:val="0"/>
        </w:rPr>
        <w:t>入支出决算总体情况说明</w:t>
      </w:r>
      <w:bookmarkEnd w:id="18"/>
      <w:bookmarkEnd w:id="19"/>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2021年度收、支总计4104.42万元。与2020年相比，收、支总计各增加493.42万元，增长13.66</w:t>
      </w:r>
      <w:r>
        <w:rPr>
          <w:rFonts w:ascii="仿宋" w:hAnsi="仿宋" w:eastAsia="仿宋"/>
          <w:sz w:val="32"/>
          <w:szCs w:val="32"/>
        </w:rPr>
        <w:t>%</w:t>
      </w:r>
      <w:r>
        <w:rPr>
          <w:rFonts w:hint="eastAsia" w:ascii="仿宋" w:hAnsi="仿宋" w:eastAsia="仿宋"/>
          <w:sz w:val="32"/>
          <w:szCs w:val="32"/>
        </w:rPr>
        <w:t>。主要变动原因是人员调动。</w:t>
      </w:r>
    </w:p>
    <w:p>
      <w:pPr>
        <w:pStyle w:val="17"/>
        <w:ind w:firstLine="640"/>
        <w:rPr>
          <w:rFonts w:ascii="仿宋" w:hAnsi="仿宋" w:eastAsia="仿宋"/>
          <w:szCs w:val="32"/>
        </w:rPr>
      </w:pPr>
      <w:r>
        <w:rPr>
          <w:rFonts w:hint="eastAsia" w:ascii="仿宋" w:hAnsi="仿宋" w:eastAsia="仿宋"/>
          <w:szCs w:val="32"/>
        </w:rPr>
        <w:drawing>
          <wp:inline distT="0" distB="0" distL="114300" distR="114300">
            <wp:extent cx="3731895" cy="2837180"/>
            <wp:effectExtent l="4445" t="4445" r="12700" b="8255"/>
            <wp:docPr id="379" name="_x0000_i189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pStyle w:val="30"/>
        <w:numPr>
          <w:ilvl w:val="0"/>
          <w:numId w:val="1"/>
        </w:numPr>
        <w:spacing w:line="600" w:lineRule="exact"/>
        <w:ind w:firstLineChars="0"/>
        <w:outlineLvl w:val="1"/>
        <w:rPr>
          <w:rStyle w:val="32"/>
          <w:rFonts w:ascii="黑体" w:hAnsi="黑体" w:eastAsia="黑体"/>
          <w:b w:val="0"/>
        </w:rPr>
      </w:pPr>
      <w:bookmarkStart w:id="20" w:name="_Toc15377206"/>
      <w:bookmarkStart w:id="21" w:name="_Toc15396604"/>
      <w:r>
        <w:rPr>
          <w:rFonts w:hint="eastAsia" w:ascii="黑体" w:hAnsi="黑体" w:eastAsia="黑体"/>
          <w:sz w:val="32"/>
          <w:szCs w:val="32"/>
        </w:rPr>
        <w:t>收</w:t>
      </w:r>
      <w:r>
        <w:rPr>
          <w:rStyle w:val="32"/>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21年本年收入合计4104.42万元，其中：一般公共预算财政拨款收入4104.42万元，占100</w:t>
      </w:r>
      <w:r>
        <w:rPr>
          <w:rFonts w:ascii="仿宋" w:hAnsi="仿宋" w:eastAsia="仿宋"/>
          <w:sz w:val="32"/>
          <w:szCs w:val="32"/>
        </w:rPr>
        <w:t>%</w:t>
      </w:r>
      <w:r>
        <w:rPr>
          <w:rFonts w:hint="eastAsia" w:ascii="仿宋" w:hAnsi="仿宋" w:eastAsia="仿宋"/>
          <w:sz w:val="32"/>
          <w:szCs w:val="32"/>
        </w:rPr>
        <w:t>。</w:t>
      </w:r>
    </w:p>
    <w:p>
      <w:pPr>
        <w:pStyle w:val="17"/>
        <w:ind w:firstLine="643"/>
        <w:rPr>
          <w:rFonts w:ascii="仿宋" w:hAnsi="仿宋" w:eastAsia="仿宋"/>
          <w:b/>
          <w:szCs w:val="32"/>
        </w:rPr>
      </w:pPr>
      <w:r>
        <w:rPr>
          <w:rFonts w:hint="eastAsia" w:ascii="仿宋" w:hAnsi="仿宋" w:eastAsia="仿宋"/>
          <w:b/>
          <w:szCs w:val="32"/>
        </w:rPr>
        <w:drawing>
          <wp:inline distT="0" distB="0" distL="114300" distR="114300">
            <wp:extent cx="2437130" cy="1677035"/>
            <wp:effectExtent l="4445" t="5080" r="12065" b="9525"/>
            <wp:docPr id="380" name="_x0000_i189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（图2：收入决算结构图）（饼状图）</w:t>
      </w:r>
    </w:p>
    <w:p>
      <w:pPr>
        <w:pStyle w:val="30"/>
        <w:numPr>
          <w:ilvl w:val="0"/>
          <w:numId w:val="1"/>
        </w:numPr>
        <w:spacing w:line="600" w:lineRule="exact"/>
        <w:ind w:firstLineChars="0"/>
        <w:outlineLvl w:val="1"/>
        <w:rPr>
          <w:rStyle w:val="32"/>
          <w:rFonts w:ascii="黑体" w:hAnsi="黑体" w:eastAsia="黑体"/>
          <w:b w:val="0"/>
        </w:rPr>
      </w:pPr>
      <w:bookmarkStart w:id="22" w:name="_Toc15396605"/>
      <w:bookmarkStart w:id="23" w:name="_Toc15377207"/>
      <w:r>
        <w:rPr>
          <w:rFonts w:hint="eastAsia" w:ascii="黑体" w:hAnsi="黑体" w:eastAsia="黑体"/>
          <w:sz w:val="32"/>
          <w:szCs w:val="32"/>
        </w:rPr>
        <w:t>支</w:t>
      </w:r>
      <w:r>
        <w:rPr>
          <w:rStyle w:val="32"/>
          <w:rFonts w:hint="eastAsia" w:ascii="黑体" w:hAnsi="黑体" w:eastAsia="黑体"/>
          <w:b w:val="0"/>
        </w:rPr>
        <w:t>出决算情况说明</w:t>
      </w:r>
      <w:bookmarkEnd w:id="22"/>
      <w:bookmarkEnd w:id="23"/>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21年本年支出合计4104.42万元，其中：基本支出2022.41万元，占49.27</w:t>
      </w:r>
      <w:r>
        <w:rPr>
          <w:rFonts w:ascii="仿宋" w:hAnsi="仿宋" w:eastAsia="仿宋"/>
          <w:sz w:val="32"/>
          <w:szCs w:val="32"/>
        </w:rPr>
        <w:t>%</w:t>
      </w:r>
      <w:r>
        <w:rPr>
          <w:rFonts w:hint="eastAsia" w:ascii="仿宋" w:hAnsi="仿宋" w:eastAsia="仿宋"/>
          <w:sz w:val="32"/>
          <w:szCs w:val="32"/>
        </w:rPr>
        <w:t>；项目支出2082.01万元，占50.73</w:t>
      </w:r>
      <w:r>
        <w:rPr>
          <w:rFonts w:ascii="仿宋" w:hAnsi="仿宋" w:eastAsia="仿宋"/>
          <w:sz w:val="32"/>
          <w:szCs w:val="32"/>
        </w:rPr>
        <w:t>%</w:t>
      </w:r>
      <w:r>
        <w:rPr>
          <w:rFonts w:hint="eastAsia" w:ascii="仿宋" w:hAnsi="仿宋" w:eastAsia="仿宋"/>
          <w:sz w:val="32"/>
          <w:szCs w:val="32"/>
        </w:rPr>
        <w:t>。</w:t>
      </w:r>
    </w:p>
    <w:p>
      <w:pPr>
        <w:pStyle w:val="16"/>
      </w:pPr>
      <w:r>
        <w:rPr>
          <w:rFonts w:hint="eastAsia"/>
        </w:rPr>
        <w:drawing>
          <wp:inline distT="0" distB="0" distL="114300" distR="114300">
            <wp:extent cx="3595370" cy="2386330"/>
            <wp:effectExtent l="4445" t="4445" r="12065" b="17145"/>
            <wp:docPr id="381" name="_x0000_i189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（图3：支出决算结构图）（饼状图）</w:t>
      </w:r>
    </w:p>
    <w:p>
      <w:pPr>
        <w:spacing w:line="600" w:lineRule="exact"/>
        <w:ind w:firstLine="640" w:firstLineChars="200"/>
        <w:outlineLvl w:val="1"/>
        <w:rPr>
          <w:rStyle w:val="32"/>
          <w:rFonts w:ascii="黑体" w:hAnsi="黑体" w:eastAsia="黑体"/>
          <w:b w:val="0"/>
        </w:rPr>
      </w:pPr>
      <w:bookmarkStart w:id="24" w:name="_Toc15377208"/>
      <w:bookmarkStart w:id="25" w:name="_Toc15396606"/>
      <w:r>
        <w:rPr>
          <w:rFonts w:hint="eastAsia" w:ascii="黑体" w:hAnsi="黑体" w:eastAsia="黑体"/>
          <w:sz w:val="32"/>
          <w:szCs w:val="32"/>
        </w:rPr>
        <w:t>四、财</w:t>
      </w:r>
      <w:r>
        <w:rPr>
          <w:rStyle w:val="32"/>
          <w:rFonts w:hint="eastAsia" w:ascii="黑体" w:hAnsi="黑体" w:eastAsia="黑体"/>
          <w:b w:val="0"/>
        </w:rPr>
        <w:t>政拨款收入支出决算总体情况说明</w:t>
      </w:r>
      <w:bookmarkEnd w:id="24"/>
      <w:bookmarkEnd w:id="2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21年财政拨款收、支总计4,104.42万元。与</w:t>
      </w:r>
      <w:r>
        <w:rPr>
          <w:rFonts w:ascii="仿宋" w:hAnsi="仿宋" w:eastAsia="仿宋"/>
          <w:sz w:val="32"/>
          <w:szCs w:val="32"/>
        </w:rPr>
        <w:t>20</w:t>
      </w:r>
      <w:r>
        <w:rPr>
          <w:rFonts w:hint="eastAsia" w:ascii="仿宋" w:hAnsi="仿宋" w:eastAsia="仿宋"/>
          <w:sz w:val="32"/>
          <w:szCs w:val="32"/>
        </w:rPr>
        <w:t>20年相比，财政拨款收、支总计各增加493.42万元，增长13.66</w:t>
      </w:r>
      <w:r>
        <w:rPr>
          <w:rFonts w:ascii="仿宋" w:hAnsi="仿宋" w:eastAsia="仿宋"/>
          <w:sz w:val="32"/>
          <w:szCs w:val="32"/>
        </w:rPr>
        <w:t>%</w:t>
      </w:r>
      <w:r>
        <w:rPr>
          <w:rFonts w:hint="eastAsia" w:ascii="仿宋" w:hAnsi="仿宋" w:eastAsia="仿宋"/>
          <w:sz w:val="32"/>
          <w:szCs w:val="32"/>
        </w:rPr>
        <w:t>。主要变动原因是人员调动。</w:t>
      </w:r>
    </w:p>
    <w:p>
      <w:pPr>
        <w:pStyle w:val="16"/>
        <w:ind w:left="320" w:hanging="320" w:hangingChars="100"/>
        <w:rPr>
          <w:rFonts w:ascii="仿宋" w:hAnsi="仿宋" w:eastAsia="仿宋"/>
          <w:szCs w:val="32"/>
        </w:rPr>
      </w:pPr>
      <w:r>
        <w:rPr>
          <w:rFonts w:hint="eastAsia" w:ascii="仿宋" w:hAnsi="仿宋" w:eastAsia="仿宋"/>
          <w:szCs w:val="32"/>
        </w:rPr>
        <w:drawing>
          <wp:inline distT="0" distB="0" distL="114300" distR="114300">
            <wp:extent cx="3846195" cy="2576830"/>
            <wp:effectExtent l="4445" t="4445" r="5080" b="9525"/>
            <wp:docPr id="382" name="_x0000_i189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p>
      <w:pPr>
        <w:spacing w:line="600" w:lineRule="exact"/>
        <w:ind w:firstLine="640" w:firstLineChars="200"/>
        <w:outlineLvl w:val="1"/>
        <w:rPr>
          <w:rStyle w:val="32"/>
          <w:rFonts w:ascii="黑体" w:hAnsi="黑体" w:eastAsia="黑体"/>
          <w:b w:val="0"/>
        </w:rPr>
      </w:pPr>
      <w:bookmarkStart w:id="26" w:name="_Toc15377209"/>
      <w:bookmarkStart w:id="27" w:name="_Toc15396607"/>
      <w:r>
        <w:rPr>
          <w:rFonts w:hint="eastAsia" w:ascii="黑体" w:hAnsi="黑体" w:eastAsia="黑体"/>
          <w:sz w:val="32"/>
          <w:szCs w:val="32"/>
        </w:rPr>
        <w:t>五、</w:t>
      </w:r>
      <w:r>
        <w:rPr>
          <w:rFonts w:hint="eastAsia" w:ascii="黑体" w:hAnsi="黑体" w:eastAsia="黑体"/>
          <w:b/>
          <w:sz w:val="32"/>
          <w:szCs w:val="32"/>
        </w:rPr>
        <w:t>一</w:t>
      </w:r>
      <w:r>
        <w:rPr>
          <w:rStyle w:val="32"/>
          <w:rFonts w:hint="eastAsia" w:ascii="黑体" w:hAnsi="黑体" w:eastAsia="黑体"/>
          <w:b w:val="0"/>
        </w:rPr>
        <w:t>般公共预算</w:t>
      </w:r>
      <w:r>
        <w:rPr>
          <w:rFonts w:hint="eastAsia" w:ascii="黑体" w:hAnsi="黑体" w:eastAsia="黑体"/>
          <w:sz w:val="32"/>
          <w:szCs w:val="32"/>
        </w:rPr>
        <w:t>财政拨款支出决算情况说明</w:t>
      </w:r>
      <w:bookmarkEnd w:id="26"/>
      <w:bookmarkEnd w:id="27"/>
    </w:p>
    <w:p>
      <w:pPr>
        <w:spacing w:line="600" w:lineRule="exact"/>
        <w:ind w:firstLine="643"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21年一般公共预算财政拨款支出4,104.42万元，占本年支出合计的100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20年相比，一般公共预算财政拨款支出增加493.42万元，增长13.66</w:t>
      </w:r>
      <w:r>
        <w:rPr>
          <w:rFonts w:ascii="仿宋" w:hAnsi="仿宋" w:eastAsia="仿宋"/>
          <w:sz w:val="32"/>
          <w:szCs w:val="32"/>
        </w:rPr>
        <w:t>%</w:t>
      </w:r>
      <w:r>
        <w:rPr>
          <w:rFonts w:hint="eastAsia" w:ascii="仿宋" w:hAnsi="仿宋" w:eastAsia="仿宋"/>
          <w:sz w:val="32"/>
          <w:szCs w:val="32"/>
        </w:rPr>
        <w:t>。主要变动原因是人员调动。</w:t>
      </w:r>
    </w:p>
    <w:p>
      <w:pPr>
        <w:pStyle w:val="17"/>
        <w:ind w:firstLine="640"/>
        <w:rPr>
          <w:rFonts w:ascii="仿宋" w:hAnsi="仿宋" w:eastAsia="仿宋"/>
          <w:szCs w:val="32"/>
        </w:rPr>
      </w:pPr>
      <w:r>
        <w:rPr>
          <w:rFonts w:hint="eastAsia" w:ascii="仿宋" w:hAnsi="仿宋" w:eastAsia="仿宋"/>
          <w:szCs w:val="32"/>
        </w:rPr>
        <w:drawing>
          <wp:inline distT="0" distB="0" distL="114300" distR="114300">
            <wp:extent cx="3396615" cy="2278380"/>
            <wp:effectExtent l="4445" t="4445" r="12700" b="18415"/>
            <wp:docPr id="383" name="_x0000_i189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p>
      <w:pPr>
        <w:spacing w:line="600" w:lineRule="exact"/>
        <w:ind w:firstLine="643"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21年一般公共预算财政拨款支出4,104.42万元，主要用于以下方面</w:t>
      </w:r>
      <w:r>
        <w:t>：</w:t>
      </w:r>
      <w:r>
        <w:rPr>
          <w:rFonts w:hint="eastAsia" w:ascii="仿宋" w:hAnsi="仿宋" w:eastAsia="仿宋"/>
          <w:b/>
          <w:sz w:val="32"/>
          <w:szCs w:val="32"/>
        </w:rPr>
        <w:t>一般公共服务（类）</w:t>
      </w:r>
      <w:r>
        <w:rPr>
          <w:rFonts w:hint="eastAsia" w:ascii="仿宋" w:hAnsi="仿宋" w:eastAsia="仿宋"/>
          <w:sz w:val="32"/>
          <w:szCs w:val="32"/>
        </w:rPr>
        <w:t>支出1394.38万元，占33.97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文化旅游体育与传媒（类）支出8万元，占0.19</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支出222.97万元，占5.43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w:t>
      </w:r>
      <w:r>
        <w:rPr>
          <w:rFonts w:hint="eastAsia" w:ascii="仿宋" w:hAnsi="仿宋" w:eastAsia="仿宋"/>
          <w:b/>
          <w:sz w:val="32"/>
          <w:szCs w:val="32"/>
        </w:rPr>
        <w:t>（类）</w:t>
      </w:r>
      <w:r>
        <w:rPr>
          <w:rFonts w:hint="eastAsia" w:ascii="仿宋" w:hAnsi="仿宋" w:eastAsia="仿宋"/>
          <w:b/>
          <w:bCs/>
          <w:sz w:val="32"/>
          <w:szCs w:val="32"/>
        </w:rPr>
        <w:t>支出</w:t>
      </w:r>
      <w:r>
        <w:rPr>
          <w:rFonts w:hint="eastAsia" w:ascii="仿宋" w:hAnsi="仿宋" w:eastAsia="仿宋"/>
          <w:sz w:val="32"/>
          <w:szCs w:val="32"/>
        </w:rPr>
        <w:t>73.65万元，占1.79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农林水（类）支出</w:t>
      </w:r>
      <w:r>
        <w:rPr>
          <w:rFonts w:hint="eastAsia" w:ascii="仿宋" w:hAnsi="仿宋" w:eastAsia="仿宋"/>
          <w:bCs/>
          <w:sz w:val="32"/>
          <w:szCs w:val="32"/>
        </w:rPr>
        <w:t>1111.29</w:t>
      </w:r>
      <w:r>
        <w:rPr>
          <w:rFonts w:hint="eastAsia" w:ascii="仿宋" w:hAnsi="仿宋" w:eastAsia="仿宋"/>
          <w:sz w:val="32"/>
          <w:szCs w:val="32"/>
        </w:rPr>
        <w:t>万元占27.08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住房保障（类）支出</w:t>
      </w:r>
      <w:r>
        <w:rPr>
          <w:rFonts w:hint="eastAsia" w:ascii="仿宋" w:hAnsi="仿宋" w:eastAsia="仿宋"/>
          <w:sz w:val="32"/>
          <w:szCs w:val="32"/>
        </w:rPr>
        <w:t>1294.14万元，占31.53</w:t>
      </w:r>
      <w:r>
        <w:rPr>
          <w:rFonts w:ascii="仿宋" w:hAnsi="仿宋" w:eastAsia="仿宋"/>
          <w:sz w:val="32"/>
          <w:szCs w:val="32"/>
        </w:rPr>
        <w:t>%</w:t>
      </w:r>
      <w:r>
        <w:rPr>
          <w:rFonts w:hint="eastAsia" w:ascii="仿宋" w:hAnsi="仿宋" w:eastAsia="仿宋"/>
          <w:sz w:val="32"/>
          <w:szCs w:val="32"/>
        </w:rPr>
        <w:t>。</w:t>
      </w:r>
    </w:p>
    <w:p>
      <w:pPr>
        <w:pStyle w:val="17"/>
        <w:ind w:firstLine="640"/>
        <w:rPr>
          <w:rFonts w:ascii="仿宋" w:hAnsi="仿宋" w:eastAsia="仿宋"/>
          <w:szCs w:val="32"/>
        </w:rPr>
      </w:pPr>
      <w:bookmarkStart w:id="67" w:name="_GoBack"/>
      <w:bookmarkEnd w:id="67"/>
      <w:r>
        <w:rPr>
          <w:rFonts w:hint="eastAsia" w:ascii="仿宋" w:hAnsi="仿宋" w:eastAsia="仿宋"/>
          <w:szCs w:val="32"/>
        </w:rPr>
        <w:drawing>
          <wp:inline distT="0" distB="0" distL="114300" distR="114300">
            <wp:extent cx="4036695" cy="2806065"/>
            <wp:effectExtent l="4445" t="4445" r="12700" b="8890"/>
            <wp:docPr id="384" name="_x0000_i189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643"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3" w:firstLineChars="200"/>
        <w:outlineLvl w:val="2"/>
        <w:rPr>
          <w:rFonts w:ascii="仿宋" w:hAnsi="仿宋" w:eastAsia="仿宋"/>
          <w:sz w:val="32"/>
          <w:szCs w:val="32"/>
        </w:rPr>
      </w:pPr>
      <w:bookmarkStart w:id="31" w:name="_Toc15378460"/>
      <w:bookmarkStart w:id="32" w:name="_Toc15377444"/>
      <w:bookmarkStart w:id="33" w:name="_Toc15377213"/>
      <w:r>
        <w:rPr>
          <w:rFonts w:hint="eastAsia" w:ascii="仿宋" w:hAnsi="仿宋" w:eastAsia="仿宋"/>
          <w:b/>
          <w:sz w:val="32"/>
          <w:szCs w:val="32"/>
        </w:rPr>
        <w:t>2021年一般公共预算支出决算数为</w:t>
      </w:r>
      <w:r>
        <w:rPr>
          <w:rFonts w:hint="eastAsia" w:ascii="仿宋" w:hAnsi="仿宋" w:eastAsia="仿宋"/>
          <w:sz w:val="32"/>
          <w:szCs w:val="32"/>
        </w:rPr>
        <w:t>4,104.42万元，</w:t>
      </w:r>
      <w:r>
        <w:rPr>
          <w:rStyle w:val="10"/>
          <w:rFonts w:hint="eastAsia" w:ascii="仿宋" w:hAnsi="仿宋" w:eastAsia="仿宋"/>
          <w:bCs/>
          <w:sz w:val="32"/>
          <w:szCs w:val="32"/>
        </w:rPr>
        <w:t>完成预算的100</w:t>
      </w:r>
      <w:r>
        <w:rPr>
          <w:rStyle w:val="10"/>
          <w:rFonts w:ascii="仿宋" w:hAnsi="仿宋" w:eastAsia="仿宋"/>
          <w:bCs/>
          <w:sz w:val="32"/>
          <w:szCs w:val="32"/>
        </w:rPr>
        <w:t>%</w:t>
      </w:r>
      <w:r>
        <w:rPr>
          <w:rStyle w:val="10"/>
          <w:rFonts w:hint="eastAsia" w:ascii="仿宋" w:hAnsi="仿宋" w:eastAsia="仿宋"/>
          <w:bCs/>
          <w:sz w:val="32"/>
          <w:szCs w:val="32"/>
        </w:rPr>
        <w:t>。</w:t>
      </w:r>
      <w:r>
        <w:rPr>
          <w:rFonts w:hint="eastAsia" w:ascii="仿宋" w:hAnsi="仿宋" w:eastAsia="仿宋"/>
          <w:bCs/>
          <w:sz w:val="32"/>
          <w:szCs w:val="32"/>
        </w:rPr>
        <w:t>其中：</w:t>
      </w:r>
      <w:bookmarkEnd w:id="31"/>
      <w:bookmarkEnd w:id="32"/>
      <w:bookmarkEnd w:id="33"/>
    </w:p>
    <w:p>
      <w:pPr>
        <w:numPr>
          <w:ilvl w:val="0"/>
          <w:numId w:val="2"/>
        </w:numPr>
        <w:spacing w:line="600" w:lineRule="exact"/>
        <w:ind w:firstLine="643" w:firstLineChars="200"/>
      </w:pPr>
      <w:r>
        <w:rPr>
          <w:rStyle w:val="10"/>
          <w:rFonts w:hint="eastAsia" w:ascii="仿宋" w:hAnsi="仿宋" w:eastAsia="仿宋"/>
          <w:bCs/>
          <w:sz w:val="32"/>
          <w:szCs w:val="32"/>
        </w:rPr>
        <w:t>一般公共服务（类）政府办公厅（室）及相关机构事务（款）行政运行（项）</w:t>
      </w:r>
      <w:r>
        <w:rPr>
          <w:rStyle w:val="10"/>
          <w:rFonts w:ascii="仿宋" w:hAnsi="仿宋" w:eastAsia="仿宋"/>
          <w:bCs/>
          <w:sz w:val="32"/>
          <w:szCs w:val="32"/>
        </w:rPr>
        <w:t>:</w:t>
      </w:r>
      <w:r>
        <w:rPr>
          <w:rStyle w:val="10"/>
          <w:rFonts w:hint="eastAsia" w:ascii="仿宋" w:hAnsi="仿宋" w:eastAsia="仿宋"/>
          <w:b w:val="0"/>
          <w:bCs/>
          <w:sz w:val="32"/>
          <w:szCs w:val="32"/>
        </w:rPr>
        <w:t>支出决算为1,</w:t>
      </w:r>
      <w:r>
        <w:rPr>
          <w:rFonts w:hint="eastAsia" w:ascii="仿宋" w:hAnsi="仿宋" w:eastAsia="仿宋"/>
          <w:bCs/>
          <w:sz w:val="32"/>
          <w:szCs w:val="32"/>
        </w:rPr>
        <w:t>120.28万元，完成预算</w:t>
      </w:r>
      <w:r>
        <w:rPr>
          <w:rStyle w:val="10"/>
          <w:rFonts w:hint="eastAsia" w:ascii="仿宋" w:hAnsi="仿宋" w:eastAsia="仿宋"/>
          <w:b w:val="0"/>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pStyle w:val="16"/>
        <w:numPr>
          <w:ilvl w:val="0"/>
          <w:numId w:val="2"/>
        </w:numPr>
        <w:ind w:firstLine="643" w:firstLineChars="200"/>
        <w:rPr>
          <w:rStyle w:val="10"/>
          <w:rFonts w:ascii="仿宋" w:hAnsi="仿宋" w:eastAsia="仿宋"/>
          <w:b w:val="0"/>
          <w:bCs/>
          <w:szCs w:val="32"/>
        </w:rPr>
      </w:pPr>
      <w:r>
        <w:rPr>
          <w:rStyle w:val="10"/>
          <w:rFonts w:hint="eastAsia" w:ascii="仿宋" w:hAnsi="仿宋" w:eastAsia="仿宋"/>
          <w:bCs/>
          <w:szCs w:val="32"/>
        </w:rPr>
        <w:t>一般公共服务（类）政府办公厅（室）及相关机构事务（款）一般行政管理事务（项）</w:t>
      </w:r>
      <w:r>
        <w:rPr>
          <w:rStyle w:val="10"/>
          <w:rFonts w:ascii="仿宋" w:hAnsi="仿宋" w:eastAsia="仿宋"/>
          <w:bCs/>
          <w:szCs w:val="32"/>
        </w:rPr>
        <w:t>:</w:t>
      </w:r>
      <w:r>
        <w:rPr>
          <w:rStyle w:val="10"/>
          <w:rFonts w:hint="eastAsia" w:ascii="仿宋" w:hAnsi="仿宋" w:eastAsia="仿宋"/>
          <w:b w:val="0"/>
          <w:bCs/>
          <w:szCs w:val="32"/>
        </w:rPr>
        <w:t>支出决算为25.91万元，完成预算100</w:t>
      </w:r>
      <w:r>
        <w:rPr>
          <w:rStyle w:val="10"/>
          <w:rFonts w:ascii="仿宋" w:hAnsi="仿宋" w:eastAsia="仿宋"/>
          <w:b w:val="0"/>
          <w:bCs/>
          <w:szCs w:val="32"/>
        </w:rPr>
        <w:t>%</w:t>
      </w:r>
      <w:r>
        <w:rPr>
          <w:rStyle w:val="10"/>
          <w:rFonts w:hint="eastAsia" w:ascii="仿宋" w:hAnsi="仿宋" w:eastAsia="仿宋"/>
          <w:b w:val="0"/>
          <w:bCs/>
          <w:szCs w:val="32"/>
        </w:rPr>
        <w:t>。</w:t>
      </w:r>
    </w:p>
    <w:p>
      <w:pPr>
        <w:pStyle w:val="16"/>
        <w:numPr>
          <w:ilvl w:val="0"/>
          <w:numId w:val="2"/>
        </w:numPr>
        <w:ind w:firstLine="643" w:firstLineChars="200"/>
      </w:pPr>
      <w:r>
        <w:rPr>
          <w:rStyle w:val="10"/>
          <w:rFonts w:hint="eastAsia" w:ascii="仿宋" w:hAnsi="仿宋" w:eastAsia="仿宋"/>
          <w:bCs/>
          <w:szCs w:val="32"/>
        </w:rPr>
        <w:t>一般公共服务（类）政府办公厅（室）及相关机构事务（款）信访事务（项）</w:t>
      </w:r>
      <w:r>
        <w:rPr>
          <w:rStyle w:val="10"/>
          <w:rFonts w:ascii="仿宋" w:hAnsi="仿宋" w:eastAsia="仿宋"/>
          <w:bCs/>
          <w:szCs w:val="32"/>
        </w:rPr>
        <w:t>:</w:t>
      </w:r>
      <w:r>
        <w:rPr>
          <w:rStyle w:val="10"/>
          <w:rFonts w:hint="eastAsia" w:ascii="仿宋" w:hAnsi="仿宋" w:eastAsia="仿宋"/>
          <w:b w:val="0"/>
          <w:bCs/>
          <w:szCs w:val="32"/>
        </w:rPr>
        <w:t>支出决算为5万元，完成预算100</w:t>
      </w:r>
      <w:r>
        <w:rPr>
          <w:rStyle w:val="10"/>
          <w:rFonts w:ascii="仿宋" w:hAnsi="仿宋" w:eastAsia="仿宋"/>
          <w:b w:val="0"/>
          <w:bCs/>
          <w:szCs w:val="32"/>
        </w:rPr>
        <w:t>%</w:t>
      </w:r>
      <w:r>
        <w:rPr>
          <w:rStyle w:val="10"/>
          <w:rFonts w:hint="eastAsia" w:ascii="仿宋" w:hAnsi="仿宋" w:eastAsia="仿宋"/>
          <w:b w:val="0"/>
          <w:bCs/>
          <w:szCs w:val="32"/>
        </w:rPr>
        <w:t>。</w:t>
      </w:r>
    </w:p>
    <w:p>
      <w:pPr>
        <w:pStyle w:val="16"/>
        <w:numPr>
          <w:ilvl w:val="0"/>
          <w:numId w:val="2"/>
        </w:numPr>
        <w:ind w:firstLine="643" w:firstLineChars="200"/>
      </w:pPr>
      <w:r>
        <w:rPr>
          <w:rStyle w:val="10"/>
          <w:rFonts w:hint="eastAsia" w:ascii="仿宋" w:hAnsi="仿宋" w:eastAsia="仿宋"/>
          <w:bCs/>
          <w:szCs w:val="32"/>
        </w:rPr>
        <w:t>一般公共服务（类）政府办公厅（室）及相关机构事务（款）事业运行（项）</w:t>
      </w:r>
      <w:r>
        <w:rPr>
          <w:rStyle w:val="10"/>
          <w:rFonts w:ascii="仿宋" w:hAnsi="仿宋" w:eastAsia="仿宋"/>
          <w:bCs/>
          <w:szCs w:val="32"/>
        </w:rPr>
        <w:t>:</w:t>
      </w:r>
      <w:r>
        <w:rPr>
          <w:rStyle w:val="10"/>
          <w:rFonts w:hint="eastAsia" w:ascii="仿宋" w:hAnsi="仿宋" w:eastAsia="仿宋"/>
          <w:b w:val="0"/>
          <w:bCs/>
          <w:szCs w:val="32"/>
        </w:rPr>
        <w:t>支出决算为242.19万元，完成预算100</w:t>
      </w:r>
      <w:r>
        <w:rPr>
          <w:rStyle w:val="10"/>
          <w:rFonts w:ascii="仿宋" w:hAnsi="仿宋" w:eastAsia="仿宋"/>
          <w:b w:val="0"/>
          <w:bCs/>
          <w:szCs w:val="32"/>
        </w:rPr>
        <w:t>%</w:t>
      </w:r>
      <w:r>
        <w:rPr>
          <w:rStyle w:val="10"/>
          <w:rFonts w:hint="eastAsia" w:ascii="仿宋" w:hAnsi="仿宋" w:eastAsia="仿宋"/>
          <w:b w:val="0"/>
          <w:bCs/>
          <w:szCs w:val="32"/>
        </w:rPr>
        <w:t>。</w:t>
      </w:r>
    </w:p>
    <w:p>
      <w:pPr>
        <w:pStyle w:val="16"/>
        <w:numPr>
          <w:ilvl w:val="0"/>
          <w:numId w:val="2"/>
        </w:numPr>
        <w:ind w:firstLine="643" w:firstLineChars="200"/>
      </w:pPr>
      <w:r>
        <w:rPr>
          <w:rStyle w:val="10"/>
          <w:rFonts w:hint="eastAsia" w:ascii="仿宋" w:hAnsi="仿宋" w:eastAsia="仿宋"/>
          <w:bCs/>
          <w:szCs w:val="32"/>
        </w:rPr>
        <w:t>一般公共服务（类）其他一般公共服务支出（款）其他一般公共服务支出（项）</w:t>
      </w:r>
      <w:r>
        <w:rPr>
          <w:rStyle w:val="10"/>
          <w:rFonts w:ascii="仿宋" w:hAnsi="仿宋" w:eastAsia="仿宋"/>
          <w:bCs/>
          <w:szCs w:val="32"/>
        </w:rPr>
        <w:t>:</w:t>
      </w:r>
      <w:r>
        <w:rPr>
          <w:rStyle w:val="10"/>
          <w:rFonts w:hint="eastAsia" w:ascii="仿宋" w:hAnsi="仿宋" w:eastAsia="仿宋"/>
          <w:b w:val="0"/>
          <w:bCs/>
          <w:szCs w:val="32"/>
        </w:rPr>
        <w:t>支出决算为1万元，完成预算100</w:t>
      </w:r>
      <w:r>
        <w:rPr>
          <w:rStyle w:val="10"/>
          <w:rFonts w:ascii="仿宋" w:hAnsi="仿宋" w:eastAsia="仿宋"/>
          <w:b w:val="0"/>
          <w:bCs/>
          <w:szCs w:val="32"/>
        </w:rPr>
        <w:t>%</w:t>
      </w:r>
      <w:r>
        <w:rPr>
          <w:rStyle w:val="10"/>
          <w:rFonts w:hint="eastAsia" w:ascii="仿宋" w:hAnsi="仿宋" w:eastAsia="仿宋"/>
          <w:b w:val="0"/>
          <w:bCs/>
          <w:szCs w:val="32"/>
        </w:rPr>
        <w:t>。</w:t>
      </w:r>
    </w:p>
    <w:p>
      <w:pPr>
        <w:pStyle w:val="16"/>
        <w:numPr>
          <w:ilvl w:val="0"/>
          <w:numId w:val="2"/>
        </w:numPr>
        <w:ind w:firstLine="643" w:firstLineChars="200"/>
      </w:pPr>
      <w:r>
        <w:rPr>
          <w:rStyle w:val="10"/>
          <w:rFonts w:hint="eastAsia" w:ascii="仿宋" w:hAnsi="仿宋" w:eastAsia="仿宋"/>
          <w:bCs/>
          <w:szCs w:val="32"/>
        </w:rPr>
        <w:t>文化旅游体育与传媒（类）文化和旅游（款）其他文化和旅游支出（项）</w:t>
      </w:r>
      <w:r>
        <w:rPr>
          <w:rStyle w:val="10"/>
          <w:rFonts w:ascii="仿宋" w:hAnsi="仿宋" w:eastAsia="仿宋"/>
          <w:bCs/>
          <w:szCs w:val="32"/>
        </w:rPr>
        <w:t>:</w:t>
      </w:r>
      <w:r>
        <w:rPr>
          <w:rStyle w:val="10"/>
          <w:rFonts w:hint="eastAsia" w:ascii="仿宋" w:hAnsi="仿宋" w:eastAsia="仿宋"/>
          <w:b w:val="0"/>
          <w:bCs/>
          <w:szCs w:val="32"/>
        </w:rPr>
        <w:t>支出决算为8万元，完成预算100</w:t>
      </w:r>
      <w:r>
        <w:rPr>
          <w:rStyle w:val="10"/>
          <w:rFonts w:ascii="仿宋" w:hAnsi="仿宋" w:eastAsia="仿宋"/>
          <w:b w:val="0"/>
          <w:bCs/>
          <w:szCs w:val="32"/>
        </w:rPr>
        <w:t>%</w:t>
      </w:r>
      <w:r>
        <w:rPr>
          <w:rStyle w:val="10"/>
          <w:rFonts w:hint="eastAsia" w:ascii="仿宋" w:hAnsi="仿宋" w:eastAsia="仿宋"/>
          <w:b w:val="0"/>
          <w:bCs/>
          <w:szCs w:val="32"/>
        </w:rPr>
        <w:t>。</w:t>
      </w:r>
    </w:p>
    <w:p>
      <w:pPr>
        <w:pStyle w:val="17"/>
        <w:numPr>
          <w:ilvl w:val="0"/>
          <w:numId w:val="2"/>
        </w:numPr>
        <w:ind w:firstLine="643"/>
      </w:pPr>
      <w:r>
        <w:rPr>
          <w:rStyle w:val="10"/>
          <w:rFonts w:hint="eastAsia" w:ascii="仿宋" w:hAnsi="仿宋" w:eastAsia="仿宋"/>
          <w:bCs/>
          <w:szCs w:val="32"/>
        </w:rPr>
        <w:t>社会保障和就业（类）行政事业单位养老支出（款）机关事业单位基本养老保险缴费支出（项）</w:t>
      </w:r>
      <w:r>
        <w:rPr>
          <w:rStyle w:val="10"/>
          <w:rFonts w:ascii="仿宋" w:hAnsi="仿宋" w:eastAsia="仿宋"/>
          <w:bCs/>
          <w:szCs w:val="32"/>
        </w:rPr>
        <w:t>:</w:t>
      </w:r>
      <w:r>
        <w:rPr>
          <w:rStyle w:val="10"/>
          <w:rFonts w:hint="eastAsia" w:ascii="仿宋" w:hAnsi="仿宋" w:eastAsia="仿宋"/>
          <w:b w:val="0"/>
          <w:bCs/>
          <w:szCs w:val="32"/>
        </w:rPr>
        <w:t>支出决算为117.84万元，完成预算100</w:t>
      </w:r>
      <w:r>
        <w:rPr>
          <w:rStyle w:val="10"/>
          <w:rFonts w:ascii="仿宋" w:hAnsi="仿宋" w:eastAsia="仿宋"/>
          <w:b w:val="0"/>
          <w:bCs/>
          <w:szCs w:val="32"/>
        </w:rPr>
        <w:t>%</w:t>
      </w:r>
      <w:r>
        <w:rPr>
          <w:rStyle w:val="10"/>
          <w:rFonts w:hint="eastAsia" w:ascii="仿宋" w:hAnsi="仿宋" w:eastAsia="仿宋"/>
          <w:b w:val="0"/>
          <w:bCs/>
          <w:szCs w:val="32"/>
        </w:rPr>
        <w:t>。</w:t>
      </w:r>
    </w:p>
    <w:p>
      <w:pPr>
        <w:pStyle w:val="17"/>
        <w:numPr>
          <w:ilvl w:val="0"/>
          <w:numId w:val="2"/>
        </w:numPr>
        <w:ind w:firstLine="643"/>
      </w:pPr>
      <w:r>
        <w:rPr>
          <w:rStyle w:val="10"/>
          <w:rFonts w:hint="eastAsia" w:ascii="仿宋" w:hAnsi="仿宋" w:eastAsia="仿宋"/>
          <w:bCs/>
          <w:szCs w:val="32"/>
        </w:rPr>
        <w:t>社会保障和就业（类）行政事业单位养老支出（款）机关事业单位职业年金缴费支出（项）</w:t>
      </w:r>
      <w:r>
        <w:rPr>
          <w:rStyle w:val="10"/>
          <w:rFonts w:ascii="仿宋" w:hAnsi="仿宋" w:eastAsia="仿宋"/>
          <w:bCs/>
          <w:szCs w:val="32"/>
        </w:rPr>
        <w:t>:</w:t>
      </w:r>
      <w:r>
        <w:rPr>
          <w:rStyle w:val="10"/>
          <w:rFonts w:hint="eastAsia" w:ascii="仿宋" w:hAnsi="仿宋" w:eastAsia="仿宋"/>
          <w:b w:val="0"/>
          <w:bCs/>
          <w:szCs w:val="32"/>
        </w:rPr>
        <w:t>支出决算为15.07万元，完成预算的100</w:t>
      </w:r>
      <w:r>
        <w:rPr>
          <w:rStyle w:val="10"/>
          <w:rFonts w:ascii="仿宋" w:hAnsi="仿宋" w:eastAsia="仿宋"/>
          <w:b w:val="0"/>
          <w:bCs/>
          <w:szCs w:val="32"/>
        </w:rPr>
        <w:t>%</w:t>
      </w:r>
      <w:r>
        <w:rPr>
          <w:rStyle w:val="10"/>
          <w:rFonts w:hint="eastAsia" w:ascii="仿宋" w:hAnsi="仿宋" w:eastAsia="仿宋"/>
          <w:b w:val="0"/>
          <w:bCs/>
          <w:szCs w:val="32"/>
        </w:rPr>
        <w:t>。</w:t>
      </w:r>
    </w:p>
    <w:p>
      <w:pPr>
        <w:pStyle w:val="17"/>
        <w:numPr>
          <w:ilvl w:val="0"/>
          <w:numId w:val="2"/>
        </w:numPr>
        <w:ind w:firstLine="643"/>
      </w:pPr>
      <w:r>
        <w:rPr>
          <w:rStyle w:val="10"/>
          <w:rFonts w:hint="eastAsia" w:ascii="仿宋" w:hAnsi="仿宋" w:eastAsia="仿宋"/>
          <w:bCs/>
          <w:szCs w:val="32"/>
        </w:rPr>
        <w:t>社会保障和就业（类）就业补助（款）社会保险补贴（项）</w:t>
      </w:r>
      <w:r>
        <w:rPr>
          <w:rStyle w:val="10"/>
          <w:rFonts w:ascii="仿宋" w:hAnsi="仿宋" w:eastAsia="仿宋"/>
          <w:bCs/>
          <w:szCs w:val="32"/>
        </w:rPr>
        <w:t>:</w:t>
      </w:r>
      <w:r>
        <w:rPr>
          <w:rStyle w:val="10"/>
          <w:rFonts w:hint="eastAsia" w:ascii="仿宋" w:hAnsi="仿宋" w:eastAsia="仿宋"/>
          <w:b w:val="0"/>
          <w:bCs/>
          <w:szCs w:val="32"/>
        </w:rPr>
        <w:t>支出决算为1.36万元，完成预算的100</w:t>
      </w:r>
      <w:r>
        <w:rPr>
          <w:rStyle w:val="10"/>
          <w:rFonts w:ascii="仿宋" w:hAnsi="仿宋" w:eastAsia="仿宋"/>
          <w:b w:val="0"/>
          <w:bCs/>
          <w:szCs w:val="32"/>
        </w:rPr>
        <w:t>%</w:t>
      </w:r>
      <w:r>
        <w:rPr>
          <w:rStyle w:val="10"/>
          <w:rFonts w:hint="eastAsia" w:ascii="仿宋" w:hAnsi="仿宋" w:eastAsia="仿宋"/>
          <w:b w:val="0"/>
          <w:bCs/>
          <w:szCs w:val="32"/>
        </w:rPr>
        <w:t>。</w:t>
      </w:r>
    </w:p>
    <w:p>
      <w:pPr>
        <w:pStyle w:val="17"/>
        <w:numPr>
          <w:ilvl w:val="0"/>
          <w:numId w:val="2"/>
        </w:numPr>
        <w:ind w:firstLine="643"/>
      </w:pPr>
      <w:r>
        <w:rPr>
          <w:rStyle w:val="10"/>
          <w:rFonts w:hint="eastAsia" w:ascii="仿宋" w:hAnsi="仿宋" w:eastAsia="仿宋"/>
          <w:bCs/>
          <w:szCs w:val="32"/>
        </w:rPr>
        <w:t>社会保障和就业（类）就业补助（款）公益性岗位补贴（项）</w:t>
      </w:r>
      <w:r>
        <w:rPr>
          <w:rStyle w:val="10"/>
          <w:rFonts w:ascii="仿宋" w:hAnsi="仿宋" w:eastAsia="仿宋"/>
          <w:bCs/>
          <w:szCs w:val="32"/>
        </w:rPr>
        <w:t>:</w:t>
      </w:r>
      <w:r>
        <w:rPr>
          <w:rStyle w:val="10"/>
          <w:rFonts w:hint="eastAsia" w:ascii="仿宋" w:hAnsi="仿宋" w:eastAsia="仿宋"/>
          <w:b w:val="0"/>
          <w:bCs/>
          <w:szCs w:val="32"/>
        </w:rPr>
        <w:t>支出决算为79.7万元，完成预算的100</w:t>
      </w:r>
      <w:r>
        <w:rPr>
          <w:rStyle w:val="10"/>
          <w:rFonts w:ascii="仿宋" w:hAnsi="仿宋" w:eastAsia="仿宋"/>
          <w:b w:val="0"/>
          <w:bCs/>
          <w:szCs w:val="32"/>
        </w:rPr>
        <w:t>%</w:t>
      </w:r>
      <w:r>
        <w:rPr>
          <w:rStyle w:val="10"/>
          <w:rFonts w:hint="eastAsia" w:ascii="仿宋" w:hAnsi="仿宋" w:eastAsia="仿宋"/>
          <w:b w:val="0"/>
          <w:bCs/>
          <w:szCs w:val="32"/>
        </w:rPr>
        <w:t>。</w:t>
      </w:r>
    </w:p>
    <w:p>
      <w:pPr>
        <w:pStyle w:val="17"/>
        <w:numPr>
          <w:ilvl w:val="0"/>
          <w:numId w:val="2"/>
        </w:numPr>
        <w:ind w:firstLine="643"/>
      </w:pPr>
      <w:r>
        <w:rPr>
          <w:rStyle w:val="10"/>
          <w:rFonts w:hint="eastAsia" w:ascii="仿宋" w:hAnsi="仿宋" w:eastAsia="仿宋"/>
          <w:bCs/>
          <w:szCs w:val="32"/>
        </w:rPr>
        <w:t>社会保障和就业（类）就业补助（款）其他就业补助支出（项）</w:t>
      </w:r>
      <w:r>
        <w:rPr>
          <w:rStyle w:val="10"/>
          <w:rFonts w:ascii="仿宋" w:hAnsi="仿宋" w:eastAsia="仿宋"/>
          <w:bCs/>
          <w:szCs w:val="32"/>
        </w:rPr>
        <w:t>:</w:t>
      </w:r>
      <w:r>
        <w:rPr>
          <w:rStyle w:val="10"/>
          <w:rFonts w:hint="eastAsia" w:ascii="仿宋" w:hAnsi="仿宋" w:eastAsia="仿宋"/>
          <w:b w:val="0"/>
          <w:bCs/>
          <w:szCs w:val="32"/>
        </w:rPr>
        <w:t>支出决算为9万元，完成预算100</w:t>
      </w:r>
      <w:r>
        <w:rPr>
          <w:rStyle w:val="10"/>
          <w:rFonts w:ascii="仿宋" w:hAnsi="仿宋" w:eastAsia="仿宋"/>
          <w:b w:val="0"/>
          <w:bCs/>
          <w:szCs w:val="32"/>
        </w:rPr>
        <w:t>%</w:t>
      </w:r>
      <w:r>
        <w:rPr>
          <w:rStyle w:val="10"/>
          <w:rFonts w:hint="eastAsia" w:ascii="仿宋" w:hAnsi="仿宋" w:eastAsia="仿宋"/>
          <w:b w:val="0"/>
          <w:bCs/>
          <w:szCs w:val="32"/>
        </w:rPr>
        <w:t>。</w:t>
      </w:r>
    </w:p>
    <w:p>
      <w:pPr>
        <w:pStyle w:val="17"/>
        <w:numPr>
          <w:ilvl w:val="0"/>
          <w:numId w:val="2"/>
        </w:numPr>
        <w:ind w:firstLine="643"/>
      </w:pPr>
      <w:r>
        <w:rPr>
          <w:rFonts w:hint="eastAsia" w:ascii="仿宋" w:hAnsi="仿宋" w:eastAsia="仿宋"/>
          <w:b/>
          <w:bCs/>
          <w:szCs w:val="32"/>
        </w:rPr>
        <w:t>卫生健康</w:t>
      </w:r>
      <w:r>
        <w:rPr>
          <w:rStyle w:val="10"/>
          <w:rFonts w:hint="eastAsia" w:ascii="仿宋" w:hAnsi="仿宋" w:eastAsia="仿宋"/>
          <w:bCs/>
          <w:szCs w:val="32"/>
        </w:rPr>
        <w:t>（类）行政事业单位医疗</w:t>
      </w:r>
      <w:r>
        <w:rPr>
          <w:rFonts w:hint="eastAsia" w:ascii="仿宋" w:hAnsi="仿宋" w:eastAsia="仿宋"/>
          <w:bCs/>
          <w:szCs w:val="32"/>
        </w:rPr>
        <w:t>（款）行政单位医疗（项）</w:t>
      </w:r>
      <w:r>
        <w:rPr>
          <w:rStyle w:val="10"/>
          <w:rFonts w:ascii="仿宋" w:hAnsi="仿宋" w:eastAsia="仿宋"/>
          <w:bCs/>
          <w:szCs w:val="32"/>
        </w:rPr>
        <w:t>:</w:t>
      </w:r>
      <w:r>
        <w:rPr>
          <w:rStyle w:val="10"/>
          <w:rFonts w:hint="eastAsia" w:ascii="仿宋" w:hAnsi="仿宋" w:eastAsia="仿宋"/>
          <w:b w:val="0"/>
          <w:bCs/>
          <w:szCs w:val="32"/>
        </w:rPr>
        <w:t>支出决算为26.22万元，完成预算100</w:t>
      </w:r>
      <w:r>
        <w:rPr>
          <w:rStyle w:val="10"/>
          <w:rFonts w:ascii="仿宋" w:hAnsi="仿宋" w:eastAsia="仿宋"/>
          <w:b w:val="0"/>
          <w:bCs/>
          <w:szCs w:val="32"/>
        </w:rPr>
        <w:t>%</w:t>
      </w:r>
      <w:r>
        <w:rPr>
          <w:rStyle w:val="10"/>
          <w:rFonts w:hint="eastAsia" w:ascii="仿宋" w:hAnsi="仿宋" w:eastAsia="仿宋"/>
          <w:b w:val="0"/>
          <w:bCs/>
          <w:szCs w:val="32"/>
        </w:rPr>
        <w:t>。</w:t>
      </w:r>
    </w:p>
    <w:p>
      <w:pPr>
        <w:pStyle w:val="17"/>
        <w:numPr>
          <w:ilvl w:val="0"/>
          <w:numId w:val="2"/>
        </w:numPr>
        <w:ind w:firstLine="643"/>
      </w:pPr>
      <w:r>
        <w:rPr>
          <w:rFonts w:hint="eastAsia" w:ascii="仿宋" w:hAnsi="仿宋" w:eastAsia="仿宋"/>
          <w:b/>
          <w:bCs/>
          <w:szCs w:val="32"/>
        </w:rPr>
        <w:t>卫生健康</w:t>
      </w:r>
      <w:r>
        <w:rPr>
          <w:rStyle w:val="10"/>
          <w:rFonts w:hint="eastAsia" w:ascii="仿宋" w:hAnsi="仿宋" w:eastAsia="仿宋"/>
          <w:bCs/>
          <w:szCs w:val="32"/>
        </w:rPr>
        <w:t>（类）行政事业单位医疗</w:t>
      </w:r>
      <w:r>
        <w:rPr>
          <w:rFonts w:hint="eastAsia" w:ascii="仿宋" w:hAnsi="仿宋" w:eastAsia="仿宋"/>
          <w:bCs/>
          <w:szCs w:val="32"/>
        </w:rPr>
        <w:t>（款）事业单位医疗（项）</w:t>
      </w:r>
      <w:r>
        <w:rPr>
          <w:rStyle w:val="10"/>
          <w:rFonts w:ascii="仿宋" w:hAnsi="仿宋" w:eastAsia="仿宋"/>
          <w:bCs/>
          <w:szCs w:val="32"/>
        </w:rPr>
        <w:t>:</w:t>
      </w:r>
      <w:r>
        <w:rPr>
          <w:rStyle w:val="10"/>
          <w:rFonts w:hint="eastAsia" w:ascii="仿宋" w:hAnsi="仿宋" w:eastAsia="仿宋"/>
          <w:b w:val="0"/>
          <w:bCs/>
          <w:szCs w:val="32"/>
        </w:rPr>
        <w:t>支出决算为41.3万元，完成预算100</w:t>
      </w:r>
      <w:r>
        <w:rPr>
          <w:rStyle w:val="10"/>
          <w:rFonts w:ascii="仿宋" w:hAnsi="仿宋" w:eastAsia="仿宋"/>
          <w:b w:val="0"/>
          <w:bCs/>
          <w:szCs w:val="32"/>
        </w:rPr>
        <w:t>%</w:t>
      </w:r>
      <w:r>
        <w:rPr>
          <w:rStyle w:val="10"/>
          <w:rFonts w:hint="eastAsia" w:ascii="仿宋" w:hAnsi="仿宋" w:eastAsia="仿宋"/>
          <w:b w:val="0"/>
          <w:bCs/>
          <w:szCs w:val="32"/>
        </w:rPr>
        <w:t>。</w:t>
      </w:r>
    </w:p>
    <w:p>
      <w:pPr>
        <w:pStyle w:val="17"/>
        <w:numPr>
          <w:ilvl w:val="0"/>
          <w:numId w:val="2"/>
        </w:numPr>
        <w:ind w:firstLine="643"/>
      </w:pPr>
      <w:r>
        <w:rPr>
          <w:rFonts w:hint="eastAsia" w:ascii="仿宋" w:hAnsi="仿宋" w:eastAsia="仿宋"/>
          <w:b/>
          <w:bCs/>
          <w:szCs w:val="32"/>
        </w:rPr>
        <w:t>卫生健康</w:t>
      </w:r>
      <w:r>
        <w:rPr>
          <w:rStyle w:val="10"/>
          <w:rFonts w:hint="eastAsia" w:ascii="仿宋" w:hAnsi="仿宋" w:eastAsia="仿宋"/>
          <w:bCs/>
          <w:szCs w:val="32"/>
        </w:rPr>
        <w:t>（类）行政事业单位医疗补助</w:t>
      </w:r>
      <w:r>
        <w:rPr>
          <w:rFonts w:hint="eastAsia" w:ascii="仿宋" w:hAnsi="仿宋" w:eastAsia="仿宋"/>
          <w:bCs/>
          <w:szCs w:val="32"/>
        </w:rPr>
        <w:t>（款）公务员医疗补助（项）</w:t>
      </w:r>
      <w:r>
        <w:rPr>
          <w:rStyle w:val="10"/>
          <w:rFonts w:ascii="仿宋" w:hAnsi="仿宋" w:eastAsia="仿宋"/>
          <w:bCs/>
          <w:szCs w:val="32"/>
        </w:rPr>
        <w:t>:</w:t>
      </w:r>
      <w:r>
        <w:rPr>
          <w:rStyle w:val="10"/>
          <w:rFonts w:hint="eastAsia" w:ascii="仿宋" w:hAnsi="仿宋" w:eastAsia="仿宋"/>
          <w:b w:val="0"/>
          <w:bCs/>
          <w:szCs w:val="32"/>
        </w:rPr>
        <w:t>支出决算为6.13万元，完成预算100</w:t>
      </w:r>
      <w:r>
        <w:rPr>
          <w:rStyle w:val="10"/>
          <w:rFonts w:ascii="仿宋" w:hAnsi="仿宋" w:eastAsia="仿宋"/>
          <w:b w:val="0"/>
          <w:bCs/>
          <w:szCs w:val="32"/>
        </w:rPr>
        <w:t>%</w:t>
      </w:r>
      <w:r>
        <w:rPr>
          <w:rStyle w:val="10"/>
          <w:rFonts w:hint="eastAsia" w:ascii="仿宋" w:hAnsi="仿宋" w:eastAsia="仿宋"/>
          <w:b w:val="0"/>
          <w:bCs/>
          <w:szCs w:val="32"/>
        </w:rPr>
        <w:t>。</w:t>
      </w:r>
    </w:p>
    <w:p>
      <w:pPr>
        <w:pStyle w:val="17"/>
        <w:numPr>
          <w:ilvl w:val="0"/>
          <w:numId w:val="2"/>
        </w:numPr>
        <w:ind w:firstLine="643"/>
      </w:pPr>
      <w:r>
        <w:rPr>
          <w:rFonts w:hint="eastAsia" w:ascii="仿宋" w:hAnsi="仿宋" w:eastAsia="仿宋"/>
          <w:b/>
          <w:bCs/>
          <w:szCs w:val="32"/>
        </w:rPr>
        <w:t>农林水支出</w:t>
      </w:r>
      <w:r>
        <w:rPr>
          <w:rStyle w:val="10"/>
          <w:rFonts w:hint="eastAsia" w:ascii="仿宋" w:hAnsi="仿宋" w:eastAsia="仿宋"/>
          <w:bCs/>
          <w:szCs w:val="32"/>
        </w:rPr>
        <w:t>（类）扶贫（款）农村基础设施建设</w:t>
      </w:r>
      <w:r>
        <w:rPr>
          <w:rFonts w:hint="eastAsia" w:ascii="仿宋" w:hAnsi="仿宋" w:eastAsia="仿宋"/>
          <w:bCs/>
          <w:szCs w:val="32"/>
        </w:rPr>
        <w:t>（项）</w:t>
      </w:r>
      <w:r>
        <w:rPr>
          <w:rStyle w:val="10"/>
          <w:rFonts w:ascii="仿宋" w:hAnsi="仿宋" w:eastAsia="仿宋"/>
          <w:bCs/>
          <w:szCs w:val="32"/>
        </w:rPr>
        <w:t>:</w:t>
      </w:r>
      <w:r>
        <w:rPr>
          <w:rStyle w:val="10"/>
          <w:rFonts w:hint="eastAsia" w:ascii="仿宋" w:hAnsi="仿宋" w:eastAsia="仿宋"/>
          <w:b w:val="0"/>
          <w:bCs/>
          <w:szCs w:val="32"/>
        </w:rPr>
        <w:t>支出决算为429.21万元，完成预算100</w:t>
      </w:r>
      <w:r>
        <w:rPr>
          <w:rStyle w:val="10"/>
          <w:rFonts w:ascii="仿宋" w:hAnsi="仿宋" w:eastAsia="仿宋"/>
          <w:b w:val="0"/>
          <w:bCs/>
          <w:szCs w:val="32"/>
        </w:rPr>
        <w:t>%</w:t>
      </w:r>
      <w:r>
        <w:rPr>
          <w:rStyle w:val="10"/>
          <w:rFonts w:hint="eastAsia" w:ascii="仿宋" w:hAnsi="仿宋" w:eastAsia="仿宋"/>
          <w:b w:val="0"/>
          <w:bCs/>
          <w:szCs w:val="32"/>
        </w:rPr>
        <w:t>。</w:t>
      </w:r>
    </w:p>
    <w:p>
      <w:pPr>
        <w:pStyle w:val="17"/>
        <w:numPr>
          <w:ilvl w:val="0"/>
          <w:numId w:val="2"/>
        </w:numPr>
        <w:ind w:firstLine="643"/>
      </w:pPr>
      <w:r>
        <w:rPr>
          <w:rFonts w:hint="eastAsia" w:ascii="仿宋" w:hAnsi="仿宋" w:eastAsia="仿宋"/>
          <w:b/>
          <w:bCs/>
          <w:szCs w:val="32"/>
        </w:rPr>
        <w:t>农林水支出</w:t>
      </w:r>
      <w:r>
        <w:rPr>
          <w:rStyle w:val="10"/>
          <w:rFonts w:hint="eastAsia" w:ascii="仿宋" w:hAnsi="仿宋" w:eastAsia="仿宋"/>
          <w:bCs/>
          <w:szCs w:val="32"/>
        </w:rPr>
        <w:t>（类）扶贫（款）生产发展（项）</w:t>
      </w:r>
      <w:r>
        <w:rPr>
          <w:rStyle w:val="10"/>
          <w:rFonts w:ascii="仿宋" w:hAnsi="仿宋" w:eastAsia="仿宋"/>
          <w:bCs/>
          <w:szCs w:val="32"/>
        </w:rPr>
        <w:t>:</w:t>
      </w:r>
      <w:r>
        <w:rPr>
          <w:rStyle w:val="10"/>
          <w:rFonts w:hint="eastAsia" w:ascii="仿宋" w:hAnsi="仿宋" w:eastAsia="仿宋"/>
          <w:b w:val="0"/>
          <w:bCs/>
          <w:szCs w:val="32"/>
        </w:rPr>
        <w:t>支出决算为166.42万元，完成预算100</w:t>
      </w:r>
      <w:r>
        <w:rPr>
          <w:rStyle w:val="10"/>
          <w:rFonts w:ascii="仿宋" w:hAnsi="仿宋" w:eastAsia="仿宋"/>
          <w:b w:val="0"/>
          <w:bCs/>
          <w:szCs w:val="32"/>
        </w:rPr>
        <w:t>%</w:t>
      </w:r>
      <w:r>
        <w:rPr>
          <w:rStyle w:val="10"/>
          <w:rFonts w:hint="eastAsia" w:ascii="仿宋" w:hAnsi="仿宋" w:eastAsia="仿宋"/>
          <w:b w:val="0"/>
          <w:bCs/>
          <w:szCs w:val="32"/>
        </w:rPr>
        <w:t>。</w:t>
      </w:r>
    </w:p>
    <w:p>
      <w:pPr>
        <w:pStyle w:val="17"/>
        <w:numPr>
          <w:ilvl w:val="0"/>
          <w:numId w:val="2"/>
        </w:numPr>
        <w:ind w:firstLine="643"/>
      </w:pPr>
      <w:r>
        <w:rPr>
          <w:rFonts w:hint="eastAsia" w:ascii="仿宋" w:hAnsi="仿宋" w:eastAsia="仿宋"/>
          <w:b/>
          <w:bCs/>
          <w:szCs w:val="32"/>
        </w:rPr>
        <w:t>农林水支出</w:t>
      </w:r>
      <w:r>
        <w:rPr>
          <w:rStyle w:val="10"/>
          <w:rFonts w:hint="eastAsia" w:ascii="仿宋" w:hAnsi="仿宋" w:eastAsia="仿宋"/>
          <w:bCs/>
          <w:szCs w:val="32"/>
        </w:rPr>
        <w:t>（类）扶贫（款）其他扶贫支出（项）</w:t>
      </w:r>
      <w:r>
        <w:rPr>
          <w:rStyle w:val="10"/>
          <w:rFonts w:ascii="仿宋" w:hAnsi="仿宋" w:eastAsia="仿宋"/>
          <w:bCs/>
          <w:szCs w:val="32"/>
        </w:rPr>
        <w:t>:</w:t>
      </w:r>
      <w:r>
        <w:rPr>
          <w:rStyle w:val="10"/>
          <w:rFonts w:hint="eastAsia" w:ascii="仿宋" w:hAnsi="仿宋" w:eastAsia="仿宋"/>
          <w:b w:val="0"/>
          <w:bCs/>
          <w:szCs w:val="32"/>
        </w:rPr>
        <w:t>支出决算为40.34万元，完成预算100</w:t>
      </w:r>
      <w:r>
        <w:rPr>
          <w:rStyle w:val="10"/>
          <w:rFonts w:ascii="仿宋" w:hAnsi="仿宋" w:eastAsia="仿宋"/>
          <w:b w:val="0"/>
          <w:bCs/>
          <w:szCs w:val="32"/>
        </w:rPr>
        <w:t>%</w:t>
      </w:r>
      <w:r>
        <w:rPr>
          <w:rStyle w:val="10"/>
          <w:rFonts w:hint="eastAsia" w:ascii="仿宋" w:hAnsi="仿宋" w:eastAsia="仿宋"/>
          <w:b w:val="0"/>
          <w:bCs/>
          <w:szCs w:val="32"/>
        </w:rPr>
        <w:t>。</w:t>
      </w:r>
    </w:p>
    <w:p>
      <w:pPr>
        <w:pStyle w:val="17"/>
        <w:numPr>
          <w:ilvl w:val="0"/>
          <w:numId w:val="2"/>
        </w:numPr>
        <w:ind w:firstLine="643"/>
      </w:pPr>
      <w:r>
        <w:rPr>
          <w:rFonts w:hint="eastAsia" w:ascii="仿宋" w:hAnsi="仿宋" w:eastAsia="仿宋"/>
          <w:b/>
          <w:bCs/>
          <w:szCs w:val="32"/>
        </w:rPr>
        <w:t>农林水支出</w:t>
      </w:r>
      <w:r>
        <w:rPr>
          <w:rStyle w:val="10"/>
          <w:rFonts w:hint="eastAsia" w:ascii="仿宋" w:hAnsi="仿宋" w:eastAsia="仿宋"/>
          <w:bCs/>
          <w:szCs w:val="32"/>
        </w:rPr>
        <w:t>（类）农村综合改革（款）对村民委员会和村党支部</w:t>
      </w:r>
      <w:r>
        <w:rPr>
          <w:rFonts w:hint="eastAsia" w:ascii="仿宋" w:hAnsi="仿宋" w:eastAsia="仿宋"/>
          <w:bCs/>
          <w:szCs w:val="32"/>
        </w:rPr>
        <w:t>的补助（项）</w:t>
      </w:r>
      <w:r>
        <w:rPr>
          <w:rStyle w:val="10"/>
          <w:rFonts w:ascii="仿宋" w:hAnsi="仿宋" w:eastAsia="仿宋"/>
          <w:bCs/>
          <w:szCs w:val="32"/>
        </w:rPr>
        <w:t>:</w:t>
      </w:r>
      <w:r>
        <w:rPr>
          <w:rStyle w:val="10"/>
          <w:rFonts w:hint="eastAsia" w:ascii="仿宋" w:hAnsi="仿宋" w:eastAsia="仿宋"/>
          <w:b w:val="0"/>
          <w:bCs/>
          <w:szCs w:val="32"/>
        </w:rPr>
        <w:t>支出决算为475.32万元，完成预算100</w:t>
      </w:r>
      <w:r>
        <w:rPr>
          <w:rStyle w:val="10"/>
          <w:rFonts w:ascii="仿宋" w:hAnsi="仿宋" w:eastAsia="仿宋"/>
          <w:b w:val="0"/>
          <w:bCs/>
          <w:szCs w:val="32"/>
        </w:rPr>
        <w:t>%</w:t>
      </w:r>
      <w:r>
        <w:rPr>
          <w:rStyle w:val="10"/>
          <w:rFonts w:hint="eastAsia" w:ascii="仿宋" w:hAnsi="仿宋" w:eastAsia="仿宋"/>
          <w:b w:val="0"/>
          <w:bCs/>
          <w:szCs w:val="32"/>
        </w:rPr>
        <w:t>。</w:t>
      </w:r>
    </w:p>
    <w:p>
      <w:pPr>
        <w:pStyle w:val="17"/>
        <w:numPr>
          <w:ilvl w:val="0"/>
          <w:numId w:val="2"/>
        </w:numPr>
        <w:ind w:firstLine="643"/>
      </w:pPr>
      <w:r>
        <w:rPr>
          <w:rFonts w:hint="eastAsia" w:ascii="仿宋" w:hAnsi="仿宋" w:eastAsia="仿宋"/>
          <w:b/>
          <w:bCs/>
          <w:szCs w:val="32"/>
        </w:rPr>
        <w:t>住房保障支出</w:t>
      </w:r>
      <w:r>
        <w:rPr>
          <w:rStyle w:val="10"/>
          <w:rFonts w:hint="eastAsia" w:ascii="仿宋" w:hAnsi="仿宋" w:eastAsia="仿宋"/>
          <w:bCs/>
          <w:szCs w:val="32"/>
        </w:rPr>
        <w:t>（类）保障性安居工程支出（款）其他保障性安居工程支出（项）</w:t>
      </w:r>
      <w:r>
        <w:rPr>
          <w:rStyle w:val="10"/>
          <w:rFonts w:ascii="仿宋" w:hAnsi="仿宋" w:eastAsia="仿宋"/>
          <w:bCs/>
          <w:szCs w:val="32"/>
        </w:rPr>
        <w:t>:</w:t>
      </w:r>
      <w:r>
        <w:rPr>
          <w:rStyle w:val="10"/>
          <w:rFonts w:hint="eastAsia" w:ascii="仿宋" w:hAnsi="仿宋" w:eastAsia="仿宋"/>
          <w:b w:val="0"/>
          <w:bCs/>
          <w:szCs w:val="32"/>
        </w:rPr>
        <w:t>支出决算为1205.75万元，完成预算的100</w:t>
      </w:r>
      <w:r>
        <w:rPr>
          <w:rStyle w:val="10"/>
          <w:rFonts w:ascii="仿宋" w:hAnsi="仿宋" w:eastAsia="仿宋"/>
          <w:b w:val="0"/>
          <w:bCs/>
          <w:szCs w:val="32"/>
        </w:rPr>
        <w:t>%</w:t>
      </w:r>
      <w:r>
        <w:rPr>
          <w:rStyle w:val="10"/>
          <w:rFonts w:hint="eastAsia" w:ascii="仿宋" w:hAnsi="仿宋" w:eastAsia="仿宋"/>
          <w:b w:val="0"/>
          <w:bCs/>
          <w:szCs w:val="32"/>
        </w:rPr>
        <w:t>。</w:t>
      </w:r>
    </w:p>
    <w:p>
      <w:pPr>
        <w:pStyle w:val="17"/>
        <w:numPr>
          <w:ilvl w:val="0"/>
          <w:numId w:val="2"/>
        </w:numPr>
        <w:ind w:firstLine="643"/>
      </w:pPr>
      <w:r>
        <w:rPr>
          <w:rFonts w:hint="eastAsia" w:ascii="仿宋" w:hAnsi="仿宋" w:eastAsia="仿宋"/>
          <w:b/>
          <w:bCs/>
          <w:szCs w:val="32"/>
        </w:rPr>
        <w:t>住房保障支出</w:t>
      </w:r>
      <w:r>
        <w:rPr>
          <w:rStyle w:val="10"/>
          <w:rFonts w:hint="eastAsia" w:ascii="仿宋" w:hAnsi="仿宋" w:eastAsia="仿宋"/>
          <w:bCs/>
          <w:szCs w:val="32"/>
        </w:rPr>
        <w:t>（类）住房改革支出（款）住房公积金（项）</w:t>
      </w:r>
      <w:r>
        <w:rPr>
          <w:rStyle w:val="10"/>
          <w:rFonts w:ascii="仿宋" w:hAnsi="仿宋" w:eastAsia="仿宋"/>
          <w:bCs/>
          <w:szCs w:val="32"/>
        </w:rPr>
        <w:t>:</w:t>
      </w:r>
      <w:r>
        <w:rPr>
          <w:rStyle w:val="10"/>
          <w:rFonts w:hint="eastAsia" w:ascii="仿宋" w:hAnsi="仿宋" w:eastAsia="仿宋"/>
          <w:b w:val="0"/>
          <w:bCs/>
          <w:szCs w:val="32"/>
        </w:rPr>
        <w:t>支出决算为88.38万元，完成预算的100</w:t>
      </w:r>
      <w:r>
        <w:rPr>
          <w:rStyle w:val="10"/>
          <w:rFonts w:ascii="仿宋" w:hAnsi="仿宋" w:eastAsia="仿宋"/>
          <w:b w:val="0"/>
          <w:bCs/>
          <w:szCs w:val="32"/>
        </w:rPr>
        <w:t>%</w:t>
      </w:r>
      <w:r>
        <w:rPr>
          <w:rStyle w:val="10"/>
          <w:rFonts w:hint="eastAsia" w:ascii="仿宋" w:hAnsi="仿宋" w:eastAsia="仿宋"/>
          <w:b w:val="0"/>
          <w:bCs/>
          <w:szCs w:val="32"/>
        </w:rPr>
        <w:t>。</w:t>
      </w:r>
    </w:p>
    <w:p>
      <w:pPr>
        <w:tabs>
          <w:tab w:val="right" w:pos="8306"/>
        </w:tabs>
        <w:spacing w:line="600" w:lineRule="exact"/>
        <w:ind w:firstLine="640"/>
        <w:outlineLvl w:val="1"/>
        <w:rPr>
          <w:rStyle w:val="32"/>
        </w:rPr>
      </w:pPr>
      <w:bookmarkStart w:id="34" w:name="_Toc15377214"/>
      <w:bookmarkStart w:id="35"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2"/>
          <w:rFonts w:hint="eastAsia" w:ascii="黑体" w:hAnsi="黑体" w:eastAsia="黑体"/>
          <w:b w:val="0"/>
        </w:rPr>
        <w:t>般公共预算</w:t>
      </w:r>
      <w:r>
        <w:rPr>
          <w:rFonts w:hint="eastAsia" w:ascii="黑体" w:hAnsi="黑体" w:eastAsia="黑体"/>
          <w:sz w:val="32"/>
          <w:szCs w:val="32"/>
        </w:rPr>
        <w:t>财政拨款基本支出决算情况说明</w:t>
      </w:r>
      <w:bookmarkEnd w:id="34"/>
      <w:bookmarkEnd w:id="35"/>
      <w:r>
        <w:rPr>
          <w:rStyle w:val="32"/>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21年一般公共预算财政拨款基本支出2,022.41万元，其中：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1728.38万元，主要包括：基本工资、津贴补贴、奖金、绩效工资、机关事业单位基本养老保险缴费、职业年金缴费、其他社会保障缴费、其他工资福利支出、生活补助、住房公积金、其他对个人和家庭的补助支出等。</w:t>
      </w:r>
    </w:p>
    <w:p>
      <w:pPr>
        <w:spacing w:line="600" w:lineRule="exact"/>
        <w:ind w:firstLine="645"/>
        <w:rPr>
          <w:rFonts w:ascii="仿宋" w:hAnsi="仿宋" w:eastAsia="仿宋"/>
          <w:sz w:val="32"/>
          <w:szCs w:val="32"/>
        </w:rPr>
      </w:pPr>
      <w:r>
        <w:rPr>
          <w:rFonts w:hint="eastAsia" w:ascii="仿宋" w:hAnsi="仿宋" w:eastAsia="仿宋"/>
          <w:sz w:val="32"/>
          <w:szCs w:val="32"/>
        </w:rPr>
        <w:t>公用经费294.02万元，主要包括：办公费、印刷费、手续费、水费、电费、邮电费、差旅费、维修（护）费、会议费、培训费、公务接待费、劳务费、工会经费、福利费、其他交通费、其他商品和服务支出、办公设备购置费等。</w:t>
      </w:r>
    </w:p>
    <w:p>
      <w:pPr>
        <w:spacing w:line="600" w:lineRule="exact"/>
        <w:ind w:firstLine="640"/>
        <w:outlineLvl w:val="1"/>
        <w:rPr>
          <w:rStyle w:val="32"/>
          <w:rFonts w:ascii="黑体" w:hAnsi="黑体" w:eastAsia="黑体"/>
          <w:b w:val="0"/>
        </w:rPr>
      </w:pPr>
      <w:bookmarkStart w:id="36" w:name="_Toc15396609"/>
      <w:bookmarkStart w:id="37" w:name="_Toc15377215"/>
      <w:r>
        <w:rPr>
          <w:rFonts w:hint="eastAsia" w:ascii="黑体" w:eastAsia="黑体"/>
          <w:sz w:val="32"/>
          <w:szCs w:val="32"/>
        </w:rPr>
        <w:t>七、</w:t>
      </w:r>
      <w:r>
        <w:rPr>
          <w:rStyle w:val="32"/>
          <w:rFonts w:hint="eastAsia" w:ascii="黑体" w:hAnsi="黑体" w:eastAsia="黑体"/>
        </w:rPr>
        <w:t>“</w:t>
      </w:r>
      <w:r>
        <w:rPr>
          <w:rStyle w:val="32"/>
          <w:rFonts w:hint="eastAsia" w:ascii="黑体" w:hAnsi="黑体" w:eastAsia="黑体"/>
          <w:b w:val="0"/>
        </w:rPr>
        <w:t>三公”经费财政拨款支出决算情况说明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21年“三公”经费财政拨款支出决算为5.5万元，完成预算100</w:t>
      </w:r>
      <w:r>
        <w:rPr>
          <w:rFonts w:ascii="仿宋" w:hAnsi="仿宋" w:eastAsia="仿宋"/>
          <w:sz w:val="32"/>
          <w:szCs w:val="32"/>
        </w:rPr>
        <w:t>%</w:t>
      </w:r>
      <w:r>
        <w:rPr>
          <w:rFonts w:hint="eastAsia" w:ascii="仿宋" w:hAnsi="仿宋" w:eastAsia="仿宋"/>
          <w:sz w:val="32"/>
          <w:szCs w:val="32"/>
        </w:rPr>
        <w:t>，决算数与预算数持平。</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；公务用车购置及运行维护费支出决算0万元，占0</w:t>
      </w:r>
      <w:r>
        <w:rPr>
          <w:rFonts w:ascii="仿宋" w:hAnsi="仿宋" w:eastAsia="仿宋"/>
          <w:sz w:val="32"/>
          <w:szCs w:val="32"/>
        </w:rPr>
        <w:t>%</w:t>
      </w:r>
      <w:r>
        <w:rPr>
          <w:rFonts w:hint="eastAsia" w:ascii="仿宋" w:hAnsi="仿宋" w:eastAsia="仿宋"/>
          <w:sz w:val="32"/>
          <w:szCs w:val="32"/>
        </w:rPr>
        <w:t>；公务接待费支出决算5.5万元，占比100</w:t>
      </w:r>
      <w:r>
        <w:rPr>
          <w:rFonts w:ascii="仿宋" w:hAnsi="仿宋" w:eastAsia="仿宋"/>
          <w:sz w:val="32"/>
          <w:szCs w:val="32"/>
        </w:rPr>
        <w:t>%</w:t>
      </w:r>
      <w:r>
        <w:rPr>
          <w:rFonts w:hint="eastAsia" w:ascii="仿宋" w:hAnsi="仿宋" w:eastAsia="仿宋"/>
          <w:sz w:val="32"/>
          <w:szCs w:val="32"/>
        </w:rPr>
        <w:t>。具体情况如下：</w:t>
      </w:r>
    </w:p>
    <w:p>
      <w:pPr>
        <w:pStyle w:val="16"/>
        <w:rPr>
          <w:rFonts w:ascii="仿宋" w:hAnsi="仿宋" w:eastAsia="仿宋"/>
          <w:szCs w:val="32"/>
        </w:rPr>
      </w:pPr>
      <w:r>
        <w:rPr>
          <w:rFonts w:hint="eastAsia" w:ascii="仿宋" w:hAnsi="仿宋" w:eastAsia="仿宋"/>
          <w:szCs w:val="32"/>
        </w:rPr>
        <w:drawing>
          <wp:inline distT="0" distB="0" distL="114300" distR="114300">
            <wp:extent cx="2862580" cy="1717040"/>
            <wp:effectExtent l="4445" t="4445" r="13335" b="15875"/>
            <wp:docPr id="385" name="_x0000_i189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（图7：“三公”经费财政拨款支出结构）（饼状图）</w:t>
      </w:r>
    </w:p>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因公出国（境）经费支出0</w:t>
      </w:r>
      <w:r>
        <w:rPr>
          <w:rFonts w:hint="eastAsia" w:ascii="仿宋_GB2312" w:eastAsia="仿宋_GB2312"/>
          <w:sz w:val="32"/>
          <w:szCs w:val="32"/>
        </w:rPr>
        <w:t>万元，</w:t>
      </w:r>
      <w:r>
        <w:rPr>
          <w:rStyle w:val="10"/>
          <w:rFonts w:hint="eastAsia" w:ascii="仿宋" w:hAnsi="仿宋" w:eastAsia="仿宋"/>
          <w:b w:val="0"/>
          <w:bCs/>
          <w:sz w:val="32"/>
          <w:szCs w:val="32"/>
        </w:rPr>
        <w:t>完成预算0</w:t>
      </w:r>
      <w:r>
        <w:rPr>
          <w:rStyle w:val="10"/>
          <w:rFonts w:ascii="仿宋" w:hAnsi="仿宋" w:eastAsia="仿宋"/>
          <w:b w:val="0"/>
          <w:bCs/>
          <w:sz w:val="32"/>
          <w:szCs w:val="32"/>
        </w:rPr>
        <w:t>%</w:t>
      </w:r>
      <w:r>
        <w:rPr>
          <w:rStyle w:val="10"/>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全年安排因公出国（境）团组0次，出国（境）0人。因公出国（境）支出决算比</w:t>
      </w:r>
      <w:r>
        <w:rPr>
          <w:rFonts w:ascii="仿宋_GB2312" w:eastAsia="仿宋_GB2312"/>
          <w:sz w:val="32"/>
          <w:szCs w:val="32"/>
        </w:rPr>
        <w:t>20</w:t>
      </w:r>
      <w:r>
        <w:rPr>
          <w:rFonts w:hint="eastAsia" w:ascii="仿宋_GB2312" w:eastAsia="仿宋_GB2312"/>
          <w:sz w:val="32"/>
          <w:szCs w:val="32"/>
        </w:rPr>
        <w:t>20年增加</w:t>
      </w:r>
      <w:r>
        <w:rPr>
          <w:rFonts w:ascii="仿宋_GB2312" w:eastAsia="仿宋_GB2312"/>
          <w:sz w:val="32"/>
          <w:szCs w:val="32"/>
        </w:rPr>
        <w:t>/</w:t>
      </w:r>
      <w:r>
        <w:rPr>
          <w:rFonts w:hint="eastAsia" w:ascii="仿宋_GB2312" w:eastAsia="仿宋_GB2312"/>
          <w:sz w:val="32"/>
          <w:szCs w:val="32"/>
        </w:rPr>
        <w:t>减少0万元，增长</w:t>
      </w:r>
      <w:r>
        <w:rPr>
          <w:rFonts w:ascii="仿宋_GB2312" w:eastAsia="仿宋_GB2312"/>
          <w:sz w:val="32"/>
          <w:szCs w:val="32"/>
        </w:rPr>
        <w:t>/</w:t>
      </w:r>
      <w:r>
        <w:rPr>
          <w:rFonts w:hint="eastAsia" w:ascii="仿宋_GB2312" w:eastAsia="仿宋_GB2312"/>
          <w:sz w:val="32"/>
          <w:szCs w:val="32"/>
        </w:rPr>
        <w:t>下降0</w:t>
      </w:r>
      <w:r>
        <w:rPr>
          <w:rFonts w:ascii="仿宋_GB2312" w:eastAsia="仿宋_GB2312"/>
          <w:sz w:val="32"/>
          <w:szCs w:val="32"/>
        </w:rPr>
        <w:t>%</w:t>
      </w:r>
      <w:r>
        <w:rPr>
          <w:rFonts w:hint="eastAsia" w:ascii="仿宋_GB2312" w:eastAsia="仿宋_GB2312"/>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公务用车购置及运行维护费支出0</w:t>
      </w:r>
      <w:r>
        <w:rPr>
          <w:rFonts w:hint="eastAsia" w:ascii="仿宋_GB2312" w:eastAsia="仿宋_GB2312"/>
          <w:sz w:val="32"/>
          <w:szCs w:val="32"/>
        </w:rPr>
        <w:t>万元</w:t>
      </w:r>
      <w:r>
        <w:t>，</w:t>
      </w:r>
      <w:r>
        <w:rPr>
          <w:rStyle w:val="10"/>
          <w:rFonts w:hint="eastAsia" w:ascii="仿宋" w:hAnsi="仿宋" w:eastAsia="仿宋"/>
          <w:b w:val="0"/>
          <w:bCs/>
          <w:sz w:val="32"/>
          <w:szCs w:val="32"/>
        </w:rPr>
        <w:t>完成预算0</w:t>
      </w:r>
      <w:r>
        <w:rPr>
          <w:rStyle w:val="10"/>
          <w:rFonts w:ascii="仿宋" w:hAnsi="仿宋" w:eastAsia="仿宋"/>
          <w:b w:val="0"/>
          <w:bCs/>
          <w:sz w:val="32"/>
          <w:szCs w:val="32"/>
        </w:rPr>
        <w:t>%</w:t>
      </w:r>
      <w:r>
        <w:rPr>
          <w:rStyle w:val="10"/>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20年增加</w:t>
      </w:r>
      <w:r>
        <w:rPr>
          <w:rFonts w:ascii="仿宋_GB2312" w:eastAsia="仿宋_GB2312"/>
          <w:sz w:val="32"/>
          <w:szCs w:val="32"/>
        </w:rPr>
        <w:t>/</w:t>
      </w:r>
      <w:r>
        <w:rPr>
          <w:rFonts w:hint="eastAsia" w:ascii="仿宋_GB2312" w:eastAsia="仿宋_GB2312"/>
          <w:sz w:val="32"/>
          <w:szCs w:val="32"/>
        </w:rPr>
        <w:t>减少0万元，增长</w:t>
      </w:r>
      <w:r>
        <w:rPr>
          <w:rFonts w:ascii="仿宋_GB2312" w:eastAsia="仿宋_GB2312"/>
          <w:sz w:val="32"/>
          <w:szCs w:val="32"/>
        </w:rPr>
        <w:t>/</w:t>
      </w:r>
      <w:r>
        <w:rPr>
          <w:rFonts w:hint="eastAsia" w:ascii="仿宋_GB2312" w:eastAsia="仿宋_GB2312"/>
          <w:sz w:val="32"/>
          <w:szCs w:val="32"/>
        </w:rPr>
        <w:t>下降0</w:t>
      </w:r>
      <w:r>
        <w:rPr>
          <w:rFonts w:ascii="仿宋_GB2312" w:eastAsia="仿宋_GB2312"/>
          <w:sz w:val="32"/>
          <w:szCs w:val="32"/>
        </w:rPr>
        <w:t>%</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公务用车购置支出0</w:t>
      </w:r>
      <w:r>
        <w:rPr>
          <w:rFonts w:hint="eastAsia" w:ascii="仿宋_GB2312" w:eastAsia="仿宋_GB2312"/>
          <w:sz w:val="32"/>
          <w:szCs w:val="32"/>
        </w:rPr>
        <w:t>万元。全年按规定更新购置公务用车0辆，截至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月底，单位共有公务用车0辆，其中：轿车0辆、越野车0辆、载客汽车0辆。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公务用车运行维护费支出0</w:t>
      </w:r>
      <w:r>
        <w:rPr>
          <w:rFonts w:hint="eastAsia" w:ascii="仿宋_GB2312" w:eastAsia="仿宋_GB2312"/>
          <w:sz w:val="32"/>
          <w:szCs w:val="32"/>
        </w:rPr>
        <w:t>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公务接待费支出5.5</w:t>
      </w:r>
      <w:r>
        <w:rPr>
          <w:rFonts w:hint="eastAsia" w:ascii="仿宋_GB2312" w:eastAsia="仿宋_GB2312"/>
          <w:sz w:val="32"/>
          <w:szCs w:val="32"/>
        </w:rPr>
        <w:t>万元，</w:t>
      </w:r>
      <w:r>
        <w:rPr>
          <w:rStyle w:val="10"/>
          <w:rFonts w:hint="eastAsia" w:ascii="仿宋" w:hAnsi="仿宋" w:eastAsia="仿宋"/>
          <w:b w:val="0"/>
          <w:bCs/>
          <w:sz w:val="32"/>
          <w:szCs w:val="32"/>
        </w:rPr>
        <w:t>完成预算的100</w:t>
      </w:r>
      <w:r>
        <w:rPr>
          <w:rStyle w:val="10"/>
          <w:rFonts w:ascii="仿宋" w:hAnsi="仿宋" w:eastAsia="仿宋"/>
          <w:b w:val="0"/>
          <w:bCs/>
          <w:sz w:val="32"/>
          <w:szCs w:val="32"/>
        </w:rPr>
        <w:t>%</w:t>
      </w:r>
      <w:r>
        <w:rPr>
          <w:rStyle w:val="10"/>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20年增加0.08万元，增长1.48</w:t>
      </w:r>
      <w:r>
        <w:rPr>
          <w:rFonts w:ascii="仿宋_GB2312" w:eastAsia="仿宋_GB2312"/>
          <w:sz w:val="32"/>
          <w:szCs w:val="32"/>
        </w:rPr>
        <w:t>%</w:t>
      </w:r>
      <w:r>
        <w:rPr>
          <w:rFonts w:hint="eastAsia" w:ascii="仿宋_GB2312" w:eastAsia="仿宋_GB2312"/>
          <w:sz w:val="32"/>
          <w:szCs w:val="32"/>
        </w:rPr>
        <w:t>。主要原因是来访接待增加。其中：</w:t>
      </w:r>
    </w:p>
    <w:p>
      <w:pPr>
        <w:spacing w:line="600" w:lineRule="exact"/>
        <w:ind w:firstLine="640"/>
        <w:rPr>
          <w:rFonts w:ascii="黑体" w:eastAsia="黑体"/>
          <w:sz w:val="32"/>
          <w:szCs w:val="32"/>
        </w:rPr>
      </w:pPr>
      <w:r>
        <w:rPr>
          <w:rFonts w:hint="eastAsia" w:ascii="仿宋" w:hAnsi="仿宋" w:eastAsia="仿宋"/>
          <w:b/>
          <w:sz w:val="32"/>
          <w:szCs w:val="32"/>
        </w:rPr>
        <w:t>国内公务接待支出5.5</w:t>
      </w:r>
      <w:r>
        <w:rPr>
          <w:rFonts w:hint="eastAsia" w:ascii="仿宋_GB2312" w:eastAsia="仿宋_GB2312"/>
          <w:sz w:val="32"/>
          <w:szCs w:val="32"/>
        </w:rPr>
        <w:t>万元，主要用于执行公务、开展业务活动开支、用餐费等。国内公务接待55批次，600人次（不包括陪同人员），共计支出5.5万元，具体内容包括：省市县级领导接待1.85万元，县级各部门开展审计、调研等业务活动3.65万元。</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外事接待支出0</w:t>
      </w:r>
      <w:r>
        <w:rPr>
          <w:rFonts w:hint="eastAsia" w:ascii="仿宋_GB2312" w:eastAsia="仿宋_GB2312"/>
          <w:sz w:val="32"/>
          <w:szCs w:val="32"/>
        </w:rPr>
        <w:t>万元，外事接待0批次，0人，共计支出0万元。</w:t>
      </w:r>
    </w:p>
    <w:p>
      <w:pPr>
        <w:spacing w:line="600" w:lineRule="exact"/>
        <w:ind w:firstLine="640"/>
        <w:outlineLvl w:val="1"/>
        <w:rPr>
          <w:rStyle w:val="32"/>
          <w:rFonts w:ascii="黑体" w:hAnsi="黑体" w:eastAsia="黑体"/>
        </w:rPr>
      </w:pPr>
      <w:bookmarkStart w:id="40" w:name="_Toc15377218"/>
      <w:bookmarkStart w:id="41" w:name="_Toc15396610"/>
      <w:r>
        <w:rPr>
          <w:rFonts w:hint="eastAsia" w:ascii="黑体" w:eastAsia="黑体"/>
          <w:sz w:val="32"/>
          <w:szCs w:val="32"/>
        </w:rPr>
        <w:t>八、</w:t>
      </w:r>
      <w:r>
        <w:rPr>
          <w:rStyle w:val="32"/>
          <w:rFonts w:hint="eastAsia" w:ascii="黑体" w:hAnsi="黑体" w:eastAsia="黑体"/>
          <w:b w:val="0"/>
        </w:rPr>
        <w:t>政府性基金预算</w:t>
      </w:r>
      <w:r>
        <w:rPr>
          <w:rFonts w:hint="eastAsia" w:ascii="黑体" w:hAnsi="黑体" w:eastAsia="黑体"/>
          <w:sz w:val="32"/>
          <w:szCs w:val="32"/>
        </w:rPr>
        <w:t>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21年政府性基金预算财政拨款支出0万元。</w:t>
      </w:r>
    </w:p>
    <w:p>
      <w:pPr>
        <w:spacing w:line="600" w:lineRule="exact"/>
        <w:ind w:firstLine="640"/>
        <w:rPr>
          <w:rFonts w:ascii="仿宋_GB2312" w:eastAsia="仿宋_GB2312"/>
          <w:sz w:val="32"/>
          <w:szCs w:val="32"/>
        </w:rPr>
      </w:pPr>
    </w:p>
    <w:p>
      <w:pPr>
        <w:numPr>
          <w:ilvl w:val="0"/>
          <w:numId w:val="3"/>
        </w:numPr>
        <w:spacing w:line="600" w:lineRule="exact"/>
        <w:ind w:firstLine="640"/>
        <w:outlineLvl w:val="1"/>
        <w:rPr>
          <w:rStyle w:val="32"/>
          <w:rFonts w:ascii="黑体" w:hAnsi="黑体" w:eastAsia="黑体"/>
          <w:b w:val="0"/>
        </w:rPr>
      </w:pPr>
      <w:bookmarkStart w:id="42" w:name="_Toc15396611"/>
      <w:bookmarkStart w:id="43" w:name="_Toc15377219"/>
      <w:r>
        <w:rPr>
          <w:rStyle w:val="32"/>
          <w:rFonts w:hint="eastAsia" w:ascii="黑体" w:hAnsi="黑体" w:eastAsia="黑体"/>
          <w:b w:val="0"/>
        </w:rPr>
        <w:t>国有</w:t>
      </w:r>
      <w:r>
        <w:rPr>
          <w:rFonts w:hint="eastAsia" w:ascii="黑体" w:hAnsi="黑体" w:eastAsia="黑体"/>
          <w:sz w:val="32"/>
          <w:szCs w:val="32"/>
        </w:rPr>
        <w:t>资本经营</w:t>
      </w:r>
      <w:r>
        <w:rPr>
          <w:rStyle w:val="32"/>
          <w:rFonts w:hint="eastAsia" w:ascii="黑体" w:hAnsi="黑体" w:eastAsia="黑体"/>
          <w:b w:val="0"/>
        </w:rPr>
        <w:t>预算</w:t>
      </w:r>
      <w:r>
        <w:rPr>
          <w:rFonts w:hint="eastAsia" w:ascii="黑体" w:hAnsi="黑体" w:eastAsia="黑体"/>
          <w:sz w:val="32"/>
          <w:szCs w:val="32"/>
        </w:rPr>
        <w:t>支出决算情况说明</w:t>
      </w:r>
      <w:bookmarkEnd w:id="42"/>
      <w:bookmarkEnd w:id="43"/>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spacing w:line="580" w:lineRule="exact"/>
        <w:jc w:val="center"/>
        <w:rPr>
          <w:rFonts w:ascii="方正小标宋简体" w:hAnsi="方正小标宋简体" w:eastAsia="方正小标宋简体" w:cs="方正小标宋简体"/>
          <w:sz w:val="44"/>
          <w:szCs w:val="44"/>
        </w:rPr>
      </w:pPr>
    </w:p>
    <w:p>
      <w:pPr>
        <w:numPr>
          <w:ilvl w:val="0"/>
          <w:numId w:val="3"/>
        </w:numPr>
        <w:spacing w:line="600" w:lineRule="exact"/>
        <w:ind w:firstLine="640"/>
        <w:outlineLvl w:val="1"/>
        <w:rPr>
          <w:rStyle w:val="32"/>
          <w:rFonts w:ascii="黑体" w:hAnsi="黑体" w:eastAsia="黑体"/>
          <w:b w:val="0"/>
        </w:rPr>
      </w:pPr>
      <w:bookmarkStart w:id="44" w:name="_Toc15396612"/>
      <w:bookmarkStart w:id="45" w:name="_Toc15377221"/>
      <w:r>
        <w:rPr>
          <w:rStyle w:val="32"/>
          <w:rFonts w:hint="eastAsia" w:ascii="黑体" w:hAnsi="黑体" w:eastAsia="黑体"/>
          <w:b w:val="0"/>
        </w:rPr>
        <w:t>其他重要事项的情况说明</w:t>
      </w:r>
      <w:bookmarkEnd w:id="44"/>
      <w:bookmarkEnd w:id="45"/>
    </w:p>
    <w:p>
      <w:pPr>
        <w:spacing w:line="600" w:lineRule="exact"/>
        <w:ind w:firstLine="643"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21年，洪口镇机关运行经费支出216.52万元，比</w:t>
      </w:r>
      <w:r>
        <w:rPr>
          <w:rFonts w:ascii="仿宋_GB2312" w:eastAsia="仿宋_GB2312"/>
          <w:sz w:val="32"/>
          <w:szCs w:val="32"/>
        </w:rPr>
        <w:t>20</w:t>
      </w:r>
      <w:r>
        <w:rPr>
          <w:rFonts w:hint="eastAsia" w:ascii="仿宋_GB2312" w:eastAsia="仿宋_GB2312"/>
          <w:sz w:val="32"/>
          <w:szCs w:val="32"/>
        </w:rPr>
        <w:t>20年增加34.37万元，增长18.87</w:t>
      </w:r>
      <w:r>
        <w:rPr>
          <w:rFonts w:ascii="仿宋_GB2312" w:eastAsia="仿宋_GB2312"/>
          <w:sz w:val="32"/>
          <w:szCs w:val="32"/>
        </w:rPr>
        <w:t>%</w:t>
      </w:r>
      <w:r>
        <w:rPr>
          <w:rFonts w:hint="eastAsia" w:ascii="仿宋_GB2312" w:eastAsia="仿宋_GB2312"/>
          <w:sz w:val="32"/>
          <w:szCs w:val="32"/>
        </w:rPr>
        <w:t>。主要原因是</w:t>
      </w:r>
      <w:r>
        <w:rPr>
          <w:rFonts w:ascii="仿宋_GB2312" w:eastAsia="仿宋_GB2312"/>
          <w:sz w:val="32"/>
          <w:szCs w:val="32"/>
        </w:rPr>
        <w:t>机关运行费用</w:t>
      </w:r>
      <w:r>
        <w:rPr>
          <w:rFonts w:hint="eastAsia" w:ascii="仿宋_GB2312" w:eastAsia="仿宋_GB2312"/>
          <w:sz w:val="32"/>
          <w:szCs w:val="32"/>
        </w:rPr>
        <w:t>增加。</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21年，虹口政府采购支出总额0万元，其中：政府采购货物支出0万元、政府采购工程支出0万元、政府采购服务支出0万元。授予中小微企业合同金额0万元，占政府采购支出总额的0%。</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日，洪口镇共有车辆0辆，其中：主要领导干部用车0辆、机要通信用车0辆、应急保障用车0辆、其他用车0辆，单价</w:t>
      </w:r>
      <w:r>
        <w:rPr>
          <w:rFonts w:ascii="仿宋_GB2312" w:eastAsia="仿宋_GB2312"/>
          <w:sz w:val="32"/>
          <w:szCs w:val="32"/>
        </w:rPr>
        <w:t>50</w:t>
      </w:r>
      <w:r>
        <w:rPr>
          <w:rFonts w:hint="eastAsia" w:ascii="仿宋_GB2312" w:eastAsia="仿宋_GB2312"/>
          <w:sz w:val="32"/>
          <w:szCs w:val="32"/>
        </w:rPr>
        <w:t>万元以上通用设备0台（套），单价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2021年度预算编制阶段，组织对洪口镇项目安全饮水补短板工程、冯家坝村道路补短、苟家湾村道路补短、闫家垭村道路补短、易迁后续扶持、余家湾村产业路、支持监测帮扶对象稳定增收等7个项目开展了预算事前绩效评估，对7个项目编制了绩效目标，预算执行过程中，选取1个项目开展绩效监控，年终执行完毕后，对1个项目开展了绩效自评，2021年特定目标类部门预算项目绩效目标自评表见附件（第四部分）。</w:t>
      </w:r>
    </w:p>
    <w:p>
      <w:pPr>
        <w:pStyle w:val="3"/>
        <w:spacing w:before="93"/>
        <w:rPr>
          <w:highlight w:val="yellow"/>
        </w:rPr>
      </w:pPr>
    </w:p>
    <w:p>
      <w:pPr>
        <w:widowControl/>
        <w:jc w:val="left"/>
        <w:rPr>
          <w:rFonts w:ascii="仿宋_GB2312" w:eastAsia="仿宋_GB2312"/>
          <w:b/>
          <w:sz w:val="32"/>
          <w:szCs w:val="32"/>
        </w:rPr>
      </w:pPr>
      <w:r>
        <w:br w:type="page"/>
      </w:r>
    </w:p>
    <w:p>
      <w:pPr>
        <w:numPr>
          <w:ilvl w:val="0"/>
          <w:numId w:val="4"/>
        </w:numPr>
        <w:spacing w:line="600" w:lineRule="exact"/>
        <w:ind w:firstLine="660" w:firstLineChars="150"/>
        <w:jc w:val="center"/>
        <w:outlineLvl w:val="0"/>
        <w:rPr>
          <w:rStyle w:val="31"/>
          <w:rFonts w:ascii="黑体" w:hAnsi="黑体" w:eastAsia="黑体"/>
          <w:b w:val="0"/>
        </w:rPr>
      </w:pPr>
      <w:bookmarkStart w:id="49" w:name="_Toc15396613"/>
      <w:bookmarkStart w:id="50" w:name="_Toc15377225"/>
      <w:r>
        <w:rPr>
          <w:rFonts w:hint="eastAsia" w:ascii="黑体" w:hAnsi="黑体" w:eastAsia="黑体"/>
          <w:sz w:val="44"/>
          <w:szCs w:val="44"/>
        </w:rPr>
        <w:t>名</w:t>
      </w:r>
      <w:r>
        <w:rPr>
          <w:rStyle w:val="31"/>
          <w:rFonts w:hint="eastAsia" w:ascii="黑体" w:hAnsi="黑体" w:eastAsia="黑体"/>
          <w:b w:val="0"/>
        </w:rPr>
        <w:t>词解释</w:t>
      </w:r>
      <w:bookmarkEnd w:id="49"/>
      <w:bookmarkEnd w:id="50"/>
    </w:p>
    <w:p>
      <w:pPr>
        <w:spacing w:line="600" w:lineRule="exact"/>
        <w:jc w:val="left"/>
        <w:rPr>
          <w:rFonts w:ascii="宋体"/>
          <w:b/>
          <w:sz w:val="44"/>
          <w:szCs w:val="44"/>
        </w:rPr>
      </w:pPr>
    </w:p>
    <w:p>
      <w:pPr>
        <w:pStyle w:val="29"/>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9"/>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29"/>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w:t>
      </w:r>
    </w:p>
    <w:p>
      <w:pPr>
        <w:pStyle w:val="29"/>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w:t>
      </w:r>
    </w:p>
    <w:p>
      <w:pPr>
        <w:pStyle w:val="29"/>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p>
    <w:p>
      <w:pPr>
        <w:pStyle w:val="29"/>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w:t>
      </w:r>
      <w:r>
        <w:rPr>
          <w:rFonts w:hint="eastAsia" w:ascii="仿宋_GB2312" w:eastAsia="仿宋_GB2312"/>
          <w:color w:val="auto"/>
          <w:sz w:val="32"/>
          <w:szCs w:val="32"/>
          <w:u w:val="none" w:color="46CD7E"/>
          <w:shd w:val="clear" w:fill="auto"/>
          <w:lang w:eastAsia="zh-CN"/>
        </w:rPr>
        <w:t>本年度</w:t>
      </w:r>
      <w:r>
        <w:rPr>
          <w:rFonts w:hint="eastAsia" w:ascii="仿宋_GB2312" w:eastAsia="仿宋_GB2312"/>
          <w:color w:val="auto"/>
          <w:sz w:val="32"/>
          <w:szCs w:val="32"/>
        </w:rPr>
        <w:t>有关规定继续使用的资金。</w:t>
      </w:r>
    </w:p>
    <w:p>
      <w:pPr>
        <w:pStyle w:val="29"/>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9"/>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u w:val="none" w:color="46CD7E"/>
          <w:shd w:val="clear" w:fill="auto"/>
          <w:lang w:eastAsia="zh-CN"/>
        </w:rPr>
        <w:t>.</w:t>
      </w:r>
      <w:r>
        <w:rPr>
          <w:rFonts w:hint="eastAsia" w:ascii="仿宋_GB2312" w:eastAsia="仿宋_GB2312"/>
          <w:color w:val="auto"/>
          <w:sz w:val="32"/>
          <w:szCs w:val="32"/>
        </w:rPr>
        <w:t>年末结转和结余：指单位按有关规定结转到下年或以后年度继续使用的资金。</w:t>
      </w:r>
    </w:p>
    <w:p>
      <w:pPr>
        <w:widowControl/>
        <w:ind w:firstLine="640"/>
        <w:jc w:val="left"/>
        <w:rPr>
          <w:rFonts w:ascii="仿宋_GB2312" w:eastAsia="仿宋_GB2312" w:cs="仿宋"/>
          <w:kern w:val="0"/>
          <w:sz w:val="32"/>
          <w:szCs w:val="32"/>
        </w:rPr>
      </w:pPr>
      <w:r>
        <w:rPr>
          <w:rFonts w:hint="eastAsia" w:ascii="仿宋_GB2312" w:eastAsia="仿宋_GB2312" w:cs="仿宋"/>
          <w:kern w:val="0"/>
          <w:sz w:val="32"/>
          <w:szCs w:val="32"/>
          <w:u w:val="none" w:color="FFB03A"/>
          <w:shd w:val="clear" w:fill="auto"/>
        </w:rPr>
        <w:t>9.</w:t>
      </w:r>
      <w:r>
        <w:rPr>
          <w:rFonts w:hint="eastAsia" w:ascii="仿宋_GB2312" w:eastAsia="仿宋_GB2312" w:cs="仿宋"/>
          <w:kern w:val="0"/>
          <w:sz w:val="32"/>
          <w:szCs w:val="32"/>
        </w:rPr>
        <w:t>一般公共服务（类）人大事务（款）行政运行（项）: 反映行政单位（包括实行公务员管理的事业单位）的基本支出。</w:t>
      </w:r>
    </w:p>
    <w:p>
      <w:pPr>
        <w:widowControl/>
        <w:ind w:firstLine="640"/>
        <w:rPr>
          <w:rFonts w:ascii="仿宋_GB2312" w:eastAsia="仿宋_GB2312" w:cs="仿宋"/>
          <w:kern w:val="0"/>
          <w:sz w:val="32"/>
          <w:szCs w:val="32"/>
        </w:rPr>
      </w:pPr>
      <w:r>
        <w:rPr>
          <w:rFonts w:hint="eastAsia" w:ascii="仿宋_GB2312" w:eastAsia="仿宋_GB2312" w:cs="仿宋"/>
          <w:kern w:val="0"/>
          <w:sz w:val="32"/>
          <w:szCs w:val="32"/>
        </w:rPr>
        <w:t>10.一般公共服务（类）政府办公厅（室）及相关机构事务（款）行政运行（项）:反映行政单位（包括实行公务员管理的事业单位）的基本支出。</w:t>
      </w:r>
    </w:p>
    <w:p>
      <w:pPr>
        <w:widowControl/>
        <w:ind w:firstLine="640"/>
        <w:rPr>
          <w:rFonts w:ascii="仿宋_GB2312" w:eastAsia="仿宋_GB2312" w:cs="仿宋"/>
          <w:kern w:val="0"/>
          <w:sz w:val="32"/>
          <w:szCs w:val="32"/>
        </w:rPr>
      </w:pPr>
      <w:r>
        <w:rPr>
          <w:rFonts w:hint="eastAsia" w:ascii="仿宋_GB2312" w:eastAsia="仿宋_GB2312" w:cs="仿宋"/>
          <w:kern w:val="0"/>
          <w:sz w:val="32"/>
          <w:szCs w:val="32"/>
        </w:rPr>
        <w:t>11.一般公共服务（类）政府办公厅（室）及相关机构事务（款）一般行政管理事务（项）:反映行政单位行政管理事务方面的支出。</w:t>
      </w:r>
    </w:p>
    <w:p>
      <w:pPr>
        <w:widowControl/>
        <w:ind w:firstLine="640"/>
        <w:rPr>
          <w:rFonts w:ascii="仿宋_GB2312" w:eastAsia="仿宋_GB2312" w:cs="仿宋"/>
          <w:kern w:val="0"/>
          <w:sz w:val="32"/>
          <w:szCs w:val="32"/>
        </w:rPr>
      </w:pPr>
      <w:r>
        <w:rPr>
          <w:rFonts w:hint="eastAsia" w:ascii="仿宋_GB2312" w:eastAsia="仿宋_GB2312" w:cs="仿宋"/>
          <w:kern w:val="0"/>
          <w:sz w:val="32"/>
          <w:szCs w:val="32"/>
        </w:rPr>
        <w:t>12.一般公共服务（类）政府办公厅（室）及相关机构事务（款）信访事务（项）:反映各级政府用于接待群众来信来访方面的支出。</w:t>
      </w:r>
    </w:p>
    <w:p>
      <w:pPr>
        <w:widowControl/>
        <w:ind w:firstLine="640"/>
        <w:rPr>
          <w:rFonts w:ascii="仿宋_GB2312" w:eastAsia="仿宋_GB2312" w:cs="仿宋"/>
          <w:kern w:val="0"/>
          <w:sz w:val="32"/>
          <w:szCs w:val="32"/>
        </w:rPr>
      </w:pPr>
      <w:r>
        <w:rPr>
          <w:rFonts w:hint="eastAsia" w:ascii="仿宋_GB2312" w:eastAsia="仿宋_GB2312" w:cs="仿宋"/>
          <w:kern w:val="0"/>
          <w:sz w:val="32"/>
          <w:szCs w:val="32"/>
        </w:rPr>
        <w:t>13. 一般公共服务（类）财政事务（款）行政运行（项）:</w:t>
      </w:r>
    </w:p>
    <w:p>
      <w:pPr>
        <w:widowControl/>
        <w:rPr>
          <w:rFonts w:ascii="仿宋_GB2312" w:eastAsia="仿宋_GB2312" w:cs="仿宋"/>
          <w:kern w:val="0"/>
          <w:sz w:val="32"/>
          <w:szCs w:val="32"/>
        </w:rPr>
      </w:pPr>
      <w:r>
        <w:rPr>
          <w:rFonts w:hint="eastAsia" w:ascii="仿宋_GB2312" w:eastAsia="仿宋_GB2312" w:cs="仿宋"/>
          <w:kern w:val="0"/>
          <w:sz w:val="32"/>
          <w:szCs w:val="32"/>
        </w:rPr>
        <w:t>反映行政单位（包括实行公务员管理的事业单位）的基本支出。</w:t>
      </w:r>
    </w:p>
    <w:p>
      <w:pPr>
        <w:widowControl/>
        <w:ind w:firstLine="640"/>
        <w:rPr>
          <w:rFonts w:ascii="仿宋_GB2312" w:eastAsia="仿宋_GB2312" w:cs="仿宋"/>
          <w:kern w:val="0"/>
          <w:sz w:val="32"/>
          <w:szCs w:val="32"/>
        </w:rPr>
      </w:pPr>
      <w:r>
        <w:rPr>
          <w:rFonts w:hint="eastAsia" w:ascii="仿宋_GB2312" w:eastAsia="仿宋_GB2312" w:cs="仿宋"/>
          <w:kern w:val="0"/>
          <w:sz w:val="32"/>
          <w:szCs w:val="32"/>
        </w:rPr>
        <w:t>14. 一般公共服务（类）人力资源事务（款）其他人力资源事务支出（项）:反映除上述项目以外其他人力资源事务方面的支出。</w:t>
      </w:r>
    </w:p>
    <w:p>
      <w:pPr>
        <w:widowControl/>
        <w:ind w:firstLine="640"/>
        <w:rPr>
          <w:rFonts w:ascii="仿宋_GB2312" w:eastAsia="仿宋_GB2312" w:cs="仿宋"/>
          <w:kern w:val="0"/>
          <w:sz w:val="32"/>
          <w:szCs w:val="32"/>
        </w:rPr>
      </w:pPr>
      <w:r>
        <w:rPr>
          <w:rFonts w:hint="eastAsia" w:ascii="仿宋_GB2312" w:eastAsia="仿宋_GB2312" w:cs="仿宋"/>
          <w:kern w:val="0"/>
          <w:sz w:val="32"/>
          <w:szCs w:val="32"/>
        </w:rPr>
        <w:t>15. 一般公共服务（类）纪检监察事务（款）行政运行（项）:反映行政单位（包括实行公务员管理的事业单位）的基本支出。</w:t>
      </w:r>
    </w:p>
    <w:p>
      <w:pPr>
        <w:widowControl/>
        <w:ind w:firstLine="640"/>
        <w:rPr>
          <w:rFonts w:ascii="仿宋_GB2312" w:eastAsia="仿宋_GB2312" w:cs="仿宋"/>
          <w:kern w:val="0"/>
          <w:sz w:val="32"/>
          <w:szCs w:val="32"/>
        </w:rPr>
      </w:pPr>
      <w:r>
        <w:rPr>
          <w:rFonts w:hint="eastAsia" w:ascii="仿宋_GB2312" w:eastAsia="仿宋_GB2312" w:cs="仿宋"/>
          <w:kern w:val="0"/>
          <w:sz w:val="32"/>
          <w:szCs w:val="32"/>
        </w:rPr>
        <w:t>16. 一般公共服务（类）党委办公厅（室）及相关机构事务（款）行政运行（项）:反映行政单位（包括实行公务员管理的事业单位）的基本支出。</w:t>
      </w:r>
    </w:p>
    <w:p>
      <w:pPr>
        <w:widowControl/>
        <w:ind w:firstLine="640"/>
        <w:rPr>
          <w:rFonts w:ascii="仿宋_GB2312" w:eastAsia="仿宋_GB2312" w:cs="仿宋"/>
          <w:kern w:val="0"/>
          <w:sz w:val="32"/>
          <w:szCs w:val="32"/>
        </w:rPr>
      </w:pPr>
      <w:r>
        <w:rPr>
          <w:rFonts w:hint="eastAsia" w:ascii="仿宋_GB2312" w:eastAsia="仿宋_GB2312" w:cs="仿宋"/>
          <w:kern w:val="0"/>
          <w:sz w:val="32"/>
          <w:szCs w:val="32"/>
        </w:rPr>
        <w:t>17. 教育支出（类）普通教育（款）学前教育（项）: 反映各部门举办的学前教育支出。</w:t>
      </w:r>
    </w:p>
    <w:p>
      <w:pPr>
        <w:widowControl/>
        <w:ind w:firstLine="640"/>
        <w:rPr>
          <w:rFonts w:ascii="仿宋_GB2312" w:eastAsia="仿宋_GB2312" w:cs="仿宋"/>
          <w:kern w:val="0"/>
          <w:sz w:val="32"/>
          <w:szCs w:val="32"/>
        </w:rPr>
      </w:pPr>
      <w:r>
        <w:rPr>
          <w:rFonts w:hint="eastAsia" w:ascii="仿宋_GB2312" w:eastAsia="仿宋_GB2312" w:cs="仿宋"/>
          <w:kern w:val="0"/>
          <w:sz w:val="32"/>
          <w:szCs w:val="32"/>
        </w:rPr>
        <w:t>18. 教育支出（类）普通教育（款）小学教育（项）：反映各部门举办的小学教育支出。</w:t>
      </w:r>
    </w:p>
    <w:p>
      <w:pPr>
        <w:widowControl/>
        <w:ind w:firstLine="640"/>
        <w:rPr>
          <w:rFonts w:ascii="仿宋_GB2312" w:eastAsia="仿宋_GB2312" w:cs="仿宋"/>
          <w:kern w:val="0"/>
          <w:sz w:val="32"/>
          <w:szCs w:val="32"/>
        </w:rPr>
      </w:pPr>
      <w:r>
        <w:rPr>
          <w:rFonts w:hint="eastAsia" w:ascii="仿宋_GB2312" w:eastAsia="仿宋_GB2312" w:cs="仿宋"/>
          <w:kern w:val="0"/>
          <w:sz w:val="32"/>
          <w:szCs w:val="32"/>
        </w:rPr>
        <w:t>19. 教育支出（类）普通教育（款）初中教育（项）：反映各部门举办的初中教育支出。</w:t>
      </w:r>
    </w:p>
    <w:p>
      <w:pPr>
        <w:widowControl/>
        <w:ind w:firstLine="640"/>
        <w:rPr>
          <w:rFonts w:ascii="仿宋_GB2312" w:eastAsia="仿宋_GB2312" w:cs="仿宋"/>
          <w:kern w:val="0"/>
          <w:sz w:val="32"/>
          <w:szCs w:val="32"/>
        </w:rPr>
      </w:pPr>
      <w:r>
        <w:rPr>
          <w:rFonts w:hint="eastAsia" w:ascii="仿宋_GB2312" w:eastAsia="仿宋_GB2312" w:cs="仿宋"/>
          <w:kern w:val="0"/>
          <w:sz w:val="32"/>
          <w:szCs w:val="32"/>
        </w:rPr>
        <w:t>20. 教育支出（类）普通教育（款）高中教育（项）：反映各部门举办的高中教育支出。</w:t>
      </w:r>
    </w:p>
    <w:p>
      <w:pPr>
        <w:widowControl/>
        <w:ind w:firstLine="640"/>
        <w:rPr>
          <w:rFonts w:ascii="仿宋_GB2312" w:eastAsia="仿宋_GB2312" w:cs="仿宋"/>
          <w:kern w:val="0"/>
          <w:sz w:val="32"/>
          <w:szCs w:val="32"/>
        </w:rPr>
      </w:pPr>
      <w:r>
        <w:rPr>
          <w:rFonts w:hint="eastAsia" w:ascii="仿宋_GB2312" w:eastAsia="仿宋_GB2312" w:cs="仿宋"/>
          <w:kern w:val="0"/>
          <w:sz w:val="32"/>
          <w:szCs w:val="32"/>
        </w:rPr>
        <w:t>21. 教育支出（类）普通教育（款）其他普通教育支出（项）：反映除上述项目以外其他用于普通教育方面的支出。</w:t>
      </w:r>
    </w:p>
    <w:p>
      <w:pPr>
        <w:widowControl/>
        <w:ind w:firstLine="640"/>
        <w:rPr>
          <w:rFonts w:ascii="仿宋_GB2312" w:eastAsia="仿宋_GB2312" w:cs="仿宋"/>
          <w:kern w:val="0"/>
          <w:sz w:val="32"/>
          <w:szCs w:val="32"/>
        </w:rPr>
      </w:pPr>
      <w:r>
        <w:rPr>
          <w:rFonts w:hint="eastAsia" w:ascii="仿宋_GB2312" w:eastAsia="仿宋_GB2312" w:cs="仿宋"/>
          <w:kern w:val="0"/>
          <w:sz w:val="32"/>
          <w:szCs w:val="32"/>
        </w:rPr>
        <w:t>22. 教育支出（类）其他教育支出（款）其他教育支出（项）：反映除上述项目以外其他用于教育方面的支出。</w:t>
      </w:r>
    </w:p>
    <w:p>
      <w:pPr>
        <w:widowControl/>
        <w:ind w:firstLine="640"/>
        <w:rPr>
          <w:rFonts w:ascii="仿宋_GB2312" w:eastAsia="仿宋_GB2312" w:cs="仿宋"/>
          <w:kern w:val="0"/>
          <w:sz w:val="32"/>
          <w:szCs w:val="32"/>
        </w:rPr>
      </w:pPr>
      <w:r>
        <w:rPr>
          <w:rFonts w:hint="eastAsia" w:ascii="仿宋_GB2312" w:eastAsia="仿宋_GB2312" w:cs="仿宋"/>
          <w:kern w:val="0"/>
          <w:sz w:val="32"/>
          <w:szCs w:val="32"/>
        </w:rPr>
        <w:t>23. 文化体育与传媒支出（类）文化（款）群众文化（项）：反映群众文化方面的支出，包括基层文化馆（站）、群众艺术馆支出等。</w:t>
      </w:r>
    </w:p>
    <w:p>
      <w:pPr>
        <w:widowControl/>
        <w:ind w:firstLine="640"/>
        <w:rPr>
          <w:rFonts w:ascii="仿宋_GB2312" w:eastAsia="仿宋_GB2312" w:cs="仿宋"/>
          <w:kern w:val="0"/>
          <w:sz w:val="32"/>
          <w:szCs w:val="32"/>
        </w:rPr>
      </w:pPr>
      <w:r>
        <w:rPr>
          <w:rFonts w:hint="eastAsia" w:ascii="仿宋_GB2312" w:eastAsia="仿宋_GB2312" w:cs="仿宋"/>
          <w:kern w:val="0"/>
          <w:sz w:val="32"/>
          <w:szCs w:val="32"/>
        </w:rPr>
        <w:t>24. 文化体育与传媒支出（类）文化（款）其他文化支出（项）：反映除上述项目以外其他用于文化方面的支出。</w:t>
      </w:r>
    </w:p>
    <w:p>
      <w:pPr>
        <w:widowControl/>
        <w:ind w:firstLine="640"/>
        <w:rPr>
          <w:rFonts w:ascii="仿宋_GB2312" w:eastAsia="仿宋_GB2312" w:cs="仿宋"/>
          <w:kern w:val="0"/>
          <w:sz w:val="32"/>
          <w:szCs w:val="32"/>
        </w:rPr>
      </w:pPr>
      <w:r>
        <w:rPr>
          <w:rFonts w:hint="eastAsia" w:ascii="仿宋_GB2312" w:eastAsia="仿宋_GB2312" w:cs="仿宋"/>
          <w:kern w:val="0"/>
          <w:sz w:val="32"/>
          <w:szCs w:val="32"/>
        </w:rPr>
        <w:t>25. 社会保障和就业支出（类）人力资源和社会保障管理事务（款）社会保险经办机构（项）：反映社会保险经办机构开展业务工作的支出。</w:t>
      </w:r>
    </w:p>
    <w:p>
      <w:pPr>
        <w:widowControl/>
        <w:ind w:firstLine="640"/>
        <w:rPr>
          <w:rFonts w:ascii="仿宋_GB2312" w:eastAsia="仿宋_GB2312" w:cs="仿宋"/>
          <w:kern w:val="0"/>
          <w:sz w:val="32"/>
          <w:szCs w:val="32"/>
        </w:rPr>
      </w:pPr>
      <w:r>
        <w:rPr>
          <w:rFonts w:hint="eastAsia" w:ascii="仿宋_GB2312" w:eastAsia="仿宋_GB2312" w:cs="仿宋"/>
          <w:kern w:val="0"/>
          <w:sz w:val="32"/>
          <w:szCs w:val="32"/>
        </w:rPr>
        <w:t>26. 社会保障和就业支出（类）行政事业单位离退休（款）</w:t>
      </w:r>
    </w:p>
    <w:p>
      <w:pPr>
        <w:widowControl/>
        <w:rPr>
          <w:rFonts w:ascii="仿宋_GB2312" w:eastAsia="仿宋_GB2312" w:cs="仿宋"/>
          <w:kern w:val="0"/>
          <w:sz w:val="32"/>
          <w:szCs w:val="32"/>
        </w:rPr>
      </w:pPr>
      <w:r>
        <w:rPr>
          <w:rFonts w:hint="eastAsia" w:ascii="仿宋_GB2312" w:eastAsia="仿宋_GB2312" w:cs="仿宋"/>
          <w:kern w:val="0"/>
          <w:sz w:val="32"/>
          <w:szCs w:val="32"/>
        </w:rPr>
        <w:t>机关事业单位基本养老保险缴费支出（项）：反映机关事业单位实施养老保险制度由单位缴纳的基本养老保险费支出。</w:t>
      </w:r>
    </w:p>
    <w:p>
      <w:pPr>
        <w:widowControl/>
        <w:ind w:firstLine="640"/>
        <w:rPr>
          <w:rFonts w:ascii="仿宋_GB2312" w:eastAsia="仿宋_GB2312" w:cs="仿宋"/>
          <w:kern w:val="0"/>
          <w:sz w:val="32"/>
          <w:szCs w:val="32"/>
        </w:rPr>
      </w:pPr>
      <w:r>
        <w:rPr>
          <w:rFonts w:hint="eastAsia" w:ascii="仿宋_GB2312" w:eastAsia="仿宋_GB2312" w:cs="仿宋"/>
          <w:kern w:val="0"/>
          <w:sz w:val="32"/>
          <w:szCs w:val="32"/>
        </w:rPr>
        <w:t>27. 医疗卫生与计划生育支出（类）医疗卫生与计划生育管理事务（款）行政运行（项）：反映行政单位（包括实行公务员管理的事业单位）的基本支出。</w:t>
      </w:r>
    </w:p>
    <w:p>
      <w:pPr>
        <w:widowControl/>
        <w:ind w:firstLine="640"/>
        <w:rPr>
          <w:rFonts w:ascii="仿宋_GB2312" w:eastAsia="仿宋_GB2312" w:cs="仿宋"/>
          <w:kern w:val="0"/>
          <w:sz w:val="32"/>
          <w:szCs w:val="32"/>
        </w:rPr>
      </w:pPr>
      <w:r>
        <w:rPr>
          <w:rFonts w:hint="eastAsia" w:ascii="仿宋_GB2312" w:eastAsia="仿宋_GB2312" w:cs="仿宋"/>
          <w:kern w:val="0"/>
          <w:sz w:val="32"/>
          <w:szCs w:val="32"/>
        </w:rPr>
        <w:t>28. 医疗卫生与计划生育支出（类）基层医疗卫生机构（款）乡镇卫生院（项）：反映用于乡镇卫生院的支出。</w:t>
      </w:r>
    </w:p>
    <w:p>
      <w:pPr>
        <w:widowControl/>
        <w:ind w:firstLine="640"/>
        <w:rPr>
          <w:rFonts w:ascii="仿宋_GB2312" w:eastAsia="仿宋_GB2312" w:cs="仿宋"/>
          <w:kern w:val="0"/>
          <w:sz w:val="32"/>
          <w:szCs w:val="32"/>
        </w:rPr>
      </w:pPr>
      <w:r>
        <w:rPr>
          <w:rFonts w:hint="eastAsia" w:ascii="仿宋_GB2312" w:eastAsia="仿宋_GB2312" w:cs="仿宋"/>
          <w:kern w:val="0"/>
          <w:sz w:val="32"/>
          <w:szCs w:val="32"/>
        </w:rPr>
        <w:t>29. 医疗卫生与计划生育支出（类）基层医疗卫生机构（款）其他基层医疗卫生机构支出（项）：反映除上述项目以外其他用于基层医疗卫生机构的支出。</w:t>
      </w:r>
    </w:p>
    <w:p>
      <w:pPr>
        <w:widowControl/>
        <w:ind w:firstLine="640"/>
        <w:rPr>
          <w:rFonts w:ascii="仿宋_GB2312" w:eastAsia="仿宋_GB2312" w:cs="仿宋"/>
          <w:kern w:val="0"/>
          <w:sz w:val="32"/>
          <w:szCs w:val="32"/>
        </w:rPr>
      </w:pPr>
      <w:r>
        <w:rPr>
          <w:rFonts w:hint="eastAsia" w:ascii="仿宋_GB2312" w:eastAsia="仿宋_GB2312" w:cs="仿宋"/>
          <w:kern w:val="0"/>
          <w:sz w:val="32"/>
          <w:szCs w:val="32"/>
        </w:rPr>
        <w:t>30. 医疗卫生与计划生育支出（类）公共卫生（款）</w:t>
      </w:r>
    </w:p>
    <w:p>
      <w:pPr>
        <w:widowControl/>
        <w:rPr>
          <w:rFonts w:ascii="仿宋_GB2312" w:eastAsia="仿宋_GB2312" w:cs="仿宋"/>
          <w:kern w:val="0"/>
          <w:sz w:val="32"/>
          <w:szCs w:val="32"/>
        </w:rPr>
      </w:pPr>
      <w:r>
        <w:rPr>
          <w:rFonts w:hint="eastAsia" w:ascii="仿宋_GB2312" w:eastAsia="仿宋_GB2312" w:cs="仿宋"/>
          <w:kern w:val="0"/>
          <w:sz w:val="32"/>
          <w:szCs w:val="32"/>
        </w:rPr>
        <w:t>基本公共卫生服务（项）：反映基本公共卫生服务支出。</w:t>
      </w:r>
    </w:p>
    <w:p>
      <w:pPr>
        <w:widowControl/>
        <w:ind w:firstLine="640" w:firstLineChars="200"/>
        <w:rPr>
          <w:rFonts w:ascii="仿宋_GB2312" w:eastAsia="仿宋_GB2312" w:cs="仿宋"/>
          <w:kern w:val="0"/>
          <w:sz w:val="32"/>
          <w:szCs w:val="32"/>
        </w:rPr>
      </w:pPr>
      <w:r>
        <w:rPr>
          <w:rFonts w:hint="eastAsia" w:ascii="仿宋_GB2312" w:eastAsia="仿宋_GB2312" w:cs="仿宋"/>
          <w:kern w:val="0"/>
          <w:sz w:val="32"/>
          <w:szCs w:val="32"/>
        </w:rPr>
        <w:t>31.医疗卫生与计划生育支出（类）计划生育事务（款）</w:t>
      </w:r>
    </w:p>
    <w:p>
      <w:pPr>
        <w:widowControl/>
        <w:rPr>
          <w:rFonts w:ascii="仿宋_GB2312" w:eastAsia="仿宋_GB2312" w:cs="仿宋"/>
          <w:kern w:val="0"/>
          <w:sz w:val="32"/>
          <w:szCs w:val="32"/>
        </w:rPr>
      </w:pPr>
      <w:r>
        <w:rPr>
          <w:rFonts w:hint="eastAsia" w:ascii="仿宋_GB2312" w:eastAsia="仿宋_GB2312" w:cs="仿宋"/>
          <w:kern w:val="0"/>
          <w:sz w:val="32"/>
          <w:szCs w:val="32"/>
        </w:rPr>
        <w:t>计划生育服务（项）：反映计划生育服务支出。</w:t>
      </w:r>
    </w:p>
    <w:p>
      <w:pPr>
        <w:widowControl/>
        <w:ind w:firstLine="640" w:firstLineChars="200"/>
        <w:rPr>
          <w:rFonts w:ascii="仿宋_GB2312" w:eastAsia="仿宋_GB2312" w:cs="仿宋"/>
          <w:kern w:val="0"/>
          <w:sz w:val="32"/>
          <w:szCs w:val="32"/>
        </w:rPr>
      </w:pPr>
      <w:r>
        <w:rPr>
          <w:rFonts w:hint="eastAsia" w:ascii="仿宋_GB2312" w:eastAsia="仿宋_GB2312" w:cs="仿宋"/>
          <w:kern w:val="0"/>
          <w:sz w:val="32"/>
          <w:szCs w:val="32"/>
        </w:rPr>
        <w:t>32.医疗卫生与计划生育支出（类）财政对基本医疗保险基金的补助（款）财政对城乡居民基本医疗保险基金的补助（项）：反映财政对已将新型农村合作医疗基金和城镇居民基本医疗保险基金整合为城乡居民基本医疗保险基金的补助支出。</w:t>
      </w:r>
    </w:p>
    <w:p>
      <w:pPr>
        <w:widowControl/>
        <w:ind w:firstLine="640"/>
        <w:rPr>
          <w:rFonts w:ascii="仿宋_GB2312" w:eastAsia="仿宋_GB2312" w:cs="仿宋"/>
          <w:kern w:val="0"/>
          <w:sz w:val="32"/>
          <w:szCs w:val="32"/>
        </w:rPr>
      </w:pPr>
      <w:r>
        <w:rPr>
          <w:rFonts w:hint="eastAsia" w:ascii="仿宋_GB2312" w:eastAsia="仿宋_GB2312" w:cs="仿宋"/>
          <w:kern w:val="0"/>
          <w:sz w:val="32"/>
          <w:szCs w:val="32"/>
        </w:rPr>
        <w:t>33.城乡社区支出（类）城乡社区规划与管理（款）城乡社区规划与管理（项）: 指反映城乡社区、名胜风景区、防灾减灾、历史名城规划制定与管理等方面的支出。</w:t>
      </w:r>
    </w:p>
    <w:p>
      <w:pPr>
        <w:widowControl/>
        <w:ind w:firstLine="640"/>
        <w:rPr>
          <w:rFonts w:ascii="仿宋_GB2312" w:eastAsia="仿宋_GB2312" w:cs="仿宋"/>
          <w:kern w:val="0"/>
          <w:sz w:val="32"/>
          <w:szCs w:val="32"/>
        </w:rPr>
      </w:pPr>
      <w:r>
        <w:rPr>
          <w:rFonts w:hint="eastAsia" w:ascii="仿宋_GB2312" w:eastAsia="仿宋_GB2312" w:cs="仿宋"/>
          <w:kern w:val="0"/>
          <w:sz w:val="32"/>
          <w:szCs w:val="32"/>
        </w:rPr>
        <w:t>34.城乡社区支出（类）城乡社区公共设施（款） 其他城乡社区公共设施支出（项）：反映除上述项目以外其他用于城乡社区公共设施的支出。</w:t>
      </w:r>
    </w:p>
    <w:p>
      <w:pPr>
        <w:widowControl/>
        <w:ind w:firstLine="640"/>
        <w:rPr>
          <w:rFonts w:ascii="仿宋_GB2312" w:eastAsia="仿宋_GB2312" w:cs="仿宋"/>
          <w:kern w:val="0"/>
          <w:sz w:val="32"/>
          <w:szCs w:val="32"/>
        </w:rPr>
      </w:pPr>
      <w:r>
        <w:rPr>
          <w:rFonts w:hint="eastAsia" w:ascii="仿宋_GB2312" w:eastAsia="仿宋_GB2312" w:cs="仿宋"/>
          <w:kern w:val="0"/>
          <w:sz w:val="32"/>
          <w:szCs w:val="32"/>
        </w:rPr>
        <w:t>35. 农林水支出（类）农业（款） 事业运行（项）：反映用于农业事业单位基本支出，事业单位设施、系统运行与资产维护等方面的支出。</w:t>
      </w:r>
    </w:p>
    <w:p>
      <w:pPr>
        <w:widowControl/>
        <w:ind w:firstLine="640"/>
        <w:rPr>
          <w:rFonts w:ascii="仿宋_GB2312" w:eastAsia="仿宋_GB2312" w:cs="仿宋"/>
          <w:kern w:val="0"/>
          <w:sz w:val="32"/>
          <w:szCs w:val="32"/>
        </w:rPr>
      </w:pPr>
      <w:r>
        <w:rPr>
          <w:rFonts w:hint="eastAsia" w:ascii="仿宋_GB2312" w:eastAsia="仿宋_GB2312" w:cs="仿宋"/>
          <w:kern w:val="0"/>
          <w:sz w:val="32"/>
          <w:szCs w:val="32"/>
        </w:rPr>
        <w:t>36. 农林水支出（类）农业（款）农业生产支持补贴（项）：反映对种粮农民直接补贴，对农业生产资料补贴、技术物化补贴，推广先进适用农机农艺技术等方面的支出。</w:t>
      </w:r>
    </w:p>
    <w:p>
      <w:pPr>
        <w:widowControl/>
        <w:ind w:firstLine="640"/>
        <w:rPr>
          <w:rFonts w:ascii="仿宋_GB2312" w:eastAsia="仿宋_GB2312" w:cs="仿宋"/>
          <w:kern w:val="0"/>
          <w:sz w:val="32"/>
          <w:szCs w:val="32"/>
        </w:rPr>
      </w:pPr>
      <w:r>
        <w:rPr>
          <w:rFonts w:hint="eastAsia" w:ascii="仿宋_GB2312" w:eastAsia="仿宋_GB2312" w:cs="仿宋"/>
          <w:kern w:val="0"/>
          <w:sz w:val="32"/>
          <w:szCs w:val="32"/>
        </w:rPr>
        <w:t>37. 农林水支出（类）农业（款）农村道路建设（项）：反映用于农村公路、乡村道路建设方面的支出。</w:t>
      </w:r>
    </w:p>
    <w:p>
      <w:pPr>
        <w:widowControl/>
        <w:ind w:firstLine="640"/>
        <w:rPr>
          <w:rFonts w:ascii="仿宋_GB2312" w:eastAsia="仿宋_GB2312" w:cs="仿宋"/>
          <w:kern w:val="0"/>
          <w:sz w:val="32"/>
          <w:szCs w:val="32"/>
        </w:rPr>
      </w:pPr>
      <w:r>
        <w:rPr>
          <w:rFonts w:hint="eastAsia" w:ascii="仿宋_GB2312" w:eastAsia="仿宋_GB2312" w:cs="仿宋"/>
          <w:kern w:val="0"/>
          <w:sz w:val="32"/>
          <w:szCs w:val="32"/>
        </w:rPr>
        <w:t>38. 农林水支出（类）林业（款）林业事业机构（项）：用于林业事业单位的基本支出。</w:t>
      </w:r>
    </w:p>
    <w:p>
      <w:pPr>
        <w:widowControl/>
        <w:ind w:firstLine="640"/>
        <w:rPr>
          <w:rFonts w:ascii="仿宋_GB2312" w:eastAsia="仿宋_GB2312" w:cs="仿宋"/>
          <w:kern w:val="0"/>
          <w:sz w:val="32"/>
          <w:szCs w:val="32"/>
        </w:rPr>
      </w:pPr>
      <w:r>
        <w:rPr>
          <w:rFonts w:hint="eastAsia" w:ascii="仿宋_GB2312" w:eastAsia="仿宋_GB2312" w:cs="仿宋"/>
          <w:kern w:val="0"/>
          <w:sz w:val="32"/>
          <w:szCs w:val="32"/>
        </w:rPr>
        <w:t>39. 农林水支出（类）林业（款）森林生态效益补偿（项）：反映国家森林生态效益补偿基金安排用于公益林营造、抚育、管理和保护等方面的支出。</w:t>
      </w:r>
    </w:p>
    <w:p>
      <w:pPr>
        <w:widowControl/>
        <w:ind w:firstLine="640"/>
        <w:rPr>
          <w:rFonts w:ascii="仿宋_GB2312" w:eastAsia="仿宋_GB2312" w:cs="仿宋"/>
          <w:kern w:val="0"/>
          <w:sz w:val="32"/>
          <w:szCs w:val="32"/>
        </w:rPr>
      </w:pPr>
      <w:r>
        <w:rPr>
          <w:rFonts w:hint="eastAsia" w:ascii="仿宋_GB2312" w:eastAsia="仿宋_GB2312" w:cs="仿宋"/>
          <w:kern w:val="0"/>
          <w:sz w:val="32"/>
          <w:szCs w:val="32"/>
        </w:rPr>
        <w:t>40. 农林水支出（类）水利（款）水利技术推广（项）：反映水利系统纳入预算管理的技术推广事业单位的支出。</w:t>
      </w:r>
    </w:p>
    <w:p>
      <w:pPr>
        <w:widowControl/>
        <w:ind w:firstLine="640"/>
        <w:rPr>
          <w:rFonts w:ascii="仿宋_GB2312" w:eastAsia="仿宋_GB2312" w:cs="仿宋"/>
          <w:kern w:val="0"/>
          <w:sz w:val="32"/>
          <w:szCs w:val="32"/>
        </w:rPr>
      </w:pPr>
      <w:r>
        <w:rPr>
          <w:rFonts w:hint="eastAsia" w:ascii="仿宋_GB2312" w:eastAsia="仿宋_GB2312" w:cs="仿宋"/>
          <w:kern w:val="0"/>
          <w:sz w:val="32"/>
          <w:szCs w:val="32"/>
        </w:rPr>
        <w:t>41. 农林水支出（类）扶贫（款）农村基础设施建设（项）：反映用于农村公路、道路建设方面等基础设施建设的支出。</w:t>
      </w:r>
    </w:p>
    <w:p>
      <w:pPr>
        <w:widowControl/>
        <w:ind w:firstLine="640"/>
        <w:rPr>
          <w:rFonts w:ascii="仿宋_GB2312" w:eastAsia="仿宋_GB2312" w:cs="仿宋"/>
          <w:kern w:val="0"/>
          <w:sz w:val="32"/>
          <w:szCs w:val="32"/>
        </w:rPr>
      </w:pPr>
      <w:r>
        <w:rPr>
          <w:rFonts w:hint="eastAsia" w:ascii="仿宋_GB2312" w:eastAsia="仿宋_GB2312" w:cs="仿宋"/>
          <w:kern w:val="0"/>
          <w:sz w:val="32"/>
          <w:szCs w:val="32"/>
        </w:rPr>
        <w:t>42. 农林水支出（类）扶贫（款）生产发展（项）：反映用于农村贫困地区发展种植业、养殖业、畜牧业、农副产品加工、林果地建设等生产发展项目以及相关技术推广等方面的项目支出。</w:t>
      </w:r>
    </w:p>
    <w:p>
      <w:pPr>
        <w:widowControl/>
        <w:ind w:firstLine="640"/>
        <w:rPr>
          <w:rFonts w:ascii="仿宋_GB2312" w:eastAsia="仿宋_GB2312" w:cs="仿宋"/>
          <w:kern w:val="0"/>
          <w:sz w:val="32"/>
          <w:szCs w:val="32"/>
        </w:rPr>
      </w:pPr>
      <w:r>
        <w:rPr>
          <w:rFonts w:hint="eastAsia" w:ascii="仿宋_GB2312" w:eastAsia="仿宋_GB2312" w:cs="仿宋"/>
          <w:kern w:val="0"/>
          <w:sz w:val="32"/>
          <w:szCs w:val="32"/>
        </w:rPr>
        <w:t>43. 农林水支出（类）扶贫（款）其他扶贫支出（项）：反映除上述项目以外其他用于其他扶贫支出。</w:t>
      </w:r>
    </w:p>
    <w:p>
      <w:pPr>
        <w:widowControl/>
        <w:ind w:firstLine="640"/>
        <w:rPr>
          <w:rFonts w:ascii="仿宋_GB2312" w:eastAsia="仿宋_GB2312" w:cs="仿宋"/>
          <w:kern w:val="0"/>
          <w:sz w:val="32"/>
          <w:szCs w:val="32"/>
        </w:rPr>
      </w:pPr>
      <w:r>
        <w:rPr>
          <w:rFonts w:hint="eastAsia" w:ascii="仿宋_GB2312" w:eastAsia="仿宋_GB2312" w:cs="仿宋"/>
          <w:kern w:val="0"/>
          <w:sz w:val="32"/>
          <w:szCs w:val="32"/>
        </w:rPr>
        <w:t>44. 农林水支出（类）农村综合改革（款）对村民委员会和党支部的补助（项）：反映各级财政对村民委员会和村党支部的补助支出。</w:t>
      </w:r>
    </w:p>
    <w:p>
      <w:pPr>
        <w:widowControl/>
        <w:ind w:firstLine="640"/>
        <w:rPr>
          <w:rFonts w:ascii="仿宋_GB2312" w:eastAsia="仿宋_GB2312" w:cs="仿宋"/>
          <w:kern w:val="0"/>
          <w:sz w:val="32"/>
          <w:szCs w:val="32"/>
        </w:rPr>
      </w:pPr>
      <w:r>
        <w:rPr>
          <w:rFonts w:hint="eastAsia" w:ascii="仿宋_GB2312" w:eastAsia="仿宋_GB2312" w:cs="仿宋"/>
          <w:kern w:val="0"/>
          <w:sz w:val="32"/>
          <w:szCs w:val="32"/>
        </w:rPr>
        <w:t>45. 农林水支出（类）农村综合改革（款）对村集体经济组织的补助（项）：反映农村税费改革后对村集体经济组织的补助支出。</w:t>
      </w:r>
    </w:p>
    <w:p>
      <w:pPr>
        <w:widowControl/>
        <w:ind w:firstLine="640"/>
        <w:rPr>
          <w:rFonts w:ascii="仿宋_GB2312" w:eastAsia="仿宋_GB2312" w:cs="仿宋"/>
          <w:kern w:val="0"/>
          <w:sz w:val="32"/>
          <w:szCs w:val="32"/>
        </w:rPr>
      </w:pPr>
      <w:r>
        <w:rPr>
          <w:rFonts w:hint="eastAsia" w:ascii="仿宋_GB2312" w:eastAsia="仿宋_GB2312" w:cs="仿宋"/>
          <w:kern w:val="0"/>
          <w:sz w:val="32"/>
          <w:szCs w:val="32"/>
        </w:rPr>
        <w:t>46. 农林水支出（类）其他农林水支出（款）其他农林水支出（项）：反映除化解债务支出以外其他用于农林水方面的支出。</w:t>
      </w:r>
    </w:p>
    <w:p>
      <w:pPr>
        <w:widowControl/>
        <w:spacing w:line="560" w:lineRule="exact"/>
        <w:ind w:firstLine="641"/>
        <w:rPr>
          <w:rFonts w:ascii="仿宋_GB2312" w:eastAsia="仿宋_GB2312" w:cs="仿宋"/>
          <w:kern w:val="0"/>
          <w:sz w:val="32"/>
          <w:szCs w:val="32"/>
        </w:rPr>
      </w:pPr>
      <w:r>
        <w:rPr>
          <w:rFonts w:hint="eastAsia" w:ascii="仿宋_GB2312" w:eastAsia="仿宋_GB2312" w:cs="仿宋"/>
          <w:kern w:val="0"/>
          <w:sz w:val="32"/>
          <w:szCs w:val="32"/>
        </w:rPr>
        <w:t>47. 交通运输支出（类）公路水路运输（款）公路运输管理（项）：反映公路运输管理支出和公路路政管理支出。</w:t>
      </w:r>
    </w:p>
    <w:p>
      <w:pPr>
        <w:widowControl/>
        <w:spacing w:line="560" w:lineRule="exact"/>
        <w:ind w:firstLine="641"/>
        <w:rPr>
          <w:rFonts w:ascii="仿宋_GB2312" w:eastAsia="仿宋_GB2312" w:cs="仿宋"/>
          <w:kern w:val="0"/>
          <w:sz w:val="32"/>
          <w:szCs w:val="32"/>
        </w:rPr>
      </w:pPr>
      <w:r>
        <w:rPr>
          <w:rFonts w:hint="eastAsia" w:ascii="仿宋_GB2312" w:eastAsia="仿宋_GB2312" w:cs="仿宋"/>
          <w:kern w:val="0"/>
          <w:sz w:val="32"/>
          <w:szCs w:val="32"/>
        </w:rPr>
        <w:t>48</w:t>
      </w:r>
      <w:r>
        <w:rPr>
          <w:rFonts w:hint="eastAsia" w:ascii="仿宋_GB2312" w:eastAsia="仿宋_GB2312" w:cs="仿宋"/>
          <w:kern w:val="0"/>
          <w:sz w:val="32"/>
          <w:szCs w:val="32"/>
          <w:lang w:eastAsia="zh-CN"/>
        </w:rPr>
        <w:t>.</w:t>
      </w:r>
      <w:r>
        <w:rPr>
          <w:rFonts w:hint="eastAsia" w:ascii="仿宋_GB2312" w:eastAsia="仿宋_GB2312" w:cs="仿宋"/>
          <w:kern w:val="0"/>
          <w:sz w:val="32"/>
          <w:szCs w:val="32"/>
        </w:rPr>
        <w:t>住房保障支出（类）住房改革支出（款）住房公积金（项）：反映用于本单位职工住房公积金缴存等支出。</w:t>
      </w:r>
    </w:p>
    <w:p>
      <w:pPr>
        <w:ind w:firstLine="640" w:firstLineChars="200"/>
        <w:rPr>
          <w:rFonts w:ascii="仿宋_GB2312" w:eastAsia="仿宋_GB2312"/>
          <w:sz w:val="32"/>
          <w:szCs w:val="32"/>
        </w:rPr>
      </w:pPr>
      <w:r>
        <w:rPr>
          <w:rFonts w:hint="eastAsia" w:ascii="仿宋_GB2312" w:eastAsia="仿宋_GB2312"/>
          <w:sz w:val="32"/>
          <w:szCs w:val="32"/>
          <w:u w:val="thick" w:color="FFB03A"/>
          <w:shd w:val="clear" w:fill="FFEFD8"/>
        </w:rPr>
        <w:t>49</w:t>
      </w:r>
      <w:r>
        <w:rPr>
          <w:rFonts w:ascii="仿宋_GB2312" w:eastAsia="仿宋_GB2312"/>
          <w:sz w:val="32"/>
          <w:szCs w:val="32"/>
          <w:u w:val="thick" w:color="FFB03A"/>
          <w:shd w:val="clear" w:fill="FFEFD8"/>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50</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p>
    <w:p>
      <w:pPr>
        <w:ind w:firstLine="640" w:firstLineChars="200"/>
        <w:rPr>
          <w:rFonts w:ascii="仿宋_GB2312" w:eastAsia="仿宋_GB2312"/>
          <w:sz w:val="32"/>
          <w:szCs w:val="32"/>
        </w:rPr>
      </w:pPr>
      <w:r>
        <w:rPr>
          <w:rFonts w:hint="eastAsia" w:ascii="仿宋_GB2312" w:eastAsia="仿宋_GB2312"/>
          <w:sz w:val="32"/>
          <w:szCs w:val="32"/>
        </w:rPr>
        <w:t>51</w:t>
      </w:r>
      <w:r>
        <w:rPr>
          <w:rFonts w:ascii="仿宋_GB2312" w:eastAsia="仿宋_GB2312"/>
          <w:sz w:val="32"/>
          <w:szCs w:val="32"/>
        </w:rPr>
        <w:t>.</w:t>
      </w:r>
      <w:r>
        <w:rPr>
          <w:rFonts w:hint="eastAsia" w:ascii="仿宋_GB2312" w:eastAsia="仿宋_GB2312"/>
          <w:sz w:val="32"/>
          <w:szCs w:val="32"/>
        </w:rPr>
        <w:t>经营支出：指事业单位在专业业务活动及其辅助活动之外开展非独立核算经营活动发生的支出。</w:t>
      </w:r>
    </w:p>
    <w:p>
      <w:pPr>
        <w:pStyle w:val="29"/>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52</w:t>
      </w:r>
      <w:r>
        <w:rPr>
          <w:rFonts w:ascii="仿宋_GB2312" w:eastAsia="仿宋_GB2312"/>
          <w:color w:val="auto"/>
          <w:sz w:val="32"/>
          <w:szCs w:val="32"/>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9"/>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53</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9"/>
        <w:spacing w:line="560" w:lineRule="exact"/>
        <w:ind w:firstLine="640" w:firstLineChars="200"/>
        <w:rPr>
          <w:rFonts w:ascii="仿宋_GB2312" w:eastAsia="仿宋_GB2312" w:cs="黑体"/>
          <w:color w:val="auto"/>
          <w:sz w:val="32"/>
          <w:szCs w:val="32"/>
        </w:rPr>
      </w:pPr>
    </w:p>
    <w:p>
      <w:pPr>
        <w:pStyle w:val="29"/>
        <w:spacing w:line="560" w:lineRule="exact"/>
        <w:ind w:firstLine="640" w:firstLineChars="200"/>
        <w:rPr>
          <w:rFonts w:ascii="仿宋_GB2312" w:eastAsia="仿宋_GB2312" w:cs="黑体"/>
          <w:color w:val="auto"/>
          <w:sz w:val="32"/>
          <w:szCs w:val="32"/>
        </w:rPr>
      </w:pPr>
    </w:p>
    <w:p>
      <w:pPr>
        <w:pStyle w:val="29"/>
        <w:spacing w:line="560" w:lineRule="exact"/>
        <w:ind w:firstLine="640" w:firstLineChars="200"/>
        <w:rPr>
          <w:rFonts w:ascii="仿宋_GB2312" w:eastAsia="仿宋_GB2312" w:cs="黑体"/>
          <w:color w:val="auto"/>
          <w:sz w:val="32"/>
          <w:szCs w:val="32"/>
        </w:rPr>
      </w:pPr>
    </w:p>
    <w:p>
      <w:pPr>
        <w:pStyle w:val="29"/>
        <w:spacing w:line="560" w:lineRule="exact"/>
        <w:ind w:firstLine="640" w:firstLineChars="200"/>
        <w:rPr>
          <w:rFonts w:ascii="仿宋_GB2312" w:eastAsia="仿宋_GB2312" w:cs="黑体"/>
          <w:color w:val="auto"/>
          <w:sz w:val="32"/>
          <w:szCs w:val="32"/>
        </w:rPr>
      </w:pPr>
    </w:p>
    <w:p>
      <w:pPr>
        <w:pStyle w:val="29"/>
        <w:spacing w:line="560" w:lineRule="exact"/>
        <w:ind w:firstLine="640" w:firstLineChars="200"/>
        <w:rPr>
          <w:rFonts w:ascii="仿宋_GB2312" w:eastAsia="仿宋_GB2312" w:cs="黑体"/>
          <w:color w:val="auto"/>
          <w:sz w:val="32"/>
          <w:szCs w:val="32"/>
        </w:rPr>
      </w:pPr>
    </w:p>
    <w:p>
      <w:pPr>
        <w:pStyle w:val="29"/>
        <w:spacing w:line="560" w:lineRule="exact"/>
        <w:ind w:firstLine="640" w:firstLineChars="200"/>
        <w:rPr>
          <w:rFonts w:ascii="仿宋_GB2312" w:eastAsia="仿宋_GB2312" w:cs="黑体"/>
          <w:color w:val="auto"/>
          <w:sz w:val="32"/>
          <w:szCs w:val="32"/>
        </w:rPr>
      </w:pPr>
    </w:p>
    <w:p>
      <w:pPr>
        <w:pStyle w:val="29"/>
        <w:spacing w:line="560" w:lineRule="exact"/>
        <w:ind w:firstLine="640" w:firstLineChars="200"/>
        <w:rPr>
          <w:rFonts w:ascii="仿宋_GB2312" w:eastAsia="仿宋_GB2312" w:cs="黑体"/>
          <w:color w:val="auto"/>
          <w:sz w:val="32"/>
          <w:szCs w:val="32"/>
        </w:rPr>
      </w:pPr>
    </w:p>
    <w:p>
      <w:pPr>
        <w:pStyle w:val="29"/>
        <w:spacing w:line="560" w:lineRule="exact"/>
        <w:ind w:firstLine="640" w:firstLineChars="200"/>
        <w:rPr>
          <w:rFonts w:ascii="仿宋_GB2312" w:eastAsia="仿宋_GB2312" w:cs="黑体"/>
          <w:color w:val="auto"/>
          <w:sz w:val="32"/>
          <w:szCs w:val="32"/>
        </w:rPr>
      </w:pPr>
    </w:p>
    <w:p>
      <w:pPr>
        <w:pStyle w:val="29"/>
        <w:spacing w:line="560" w:lineRule="exact"/>
        <w:ind w:firstLine="640" w:firstLineChars="200"/>
        <w:rPr>
          <w:rFonts w:ascii="仿宋_GB2312" w:eastAsia="仿宋_GB2312" w:cs="黑体"/>
          <w:color w:val="auto"/>
          <w:sz w:val="32"/>
          <w:szCs w:val="32"/>
        </w:rPr>
      </w:pPr>
    </w:p>
    <w:p>
      <w:pPr>
        <w:pStyle w:val="29"/>
        <w:spacing w:line="560" w:lineRule="exact"/>
        <w:ind w:firstLine="640" w:firstLineChars="200"/>
        <w:rPr>
          <w:rFonts w:ascii="仿宋_GB2312" w:eastAsia="仿宋_GB2312" w:cs="黑体"/>
          <w:color w:val="auto"/>
          <w:sz w:val="32"/>
          <w:szCs w:val="32"/>
        </w:rPr>
      </w:pPr>
    </w:p>
    <w:p>
      <w:pPr>
        <w:pStyle w:val="29"/>
        <w:spacing w:line="560" w:lineRule="exact"/>
        <w:ind w:firstLine="640" w:firstLineChars="200"/>
        <w:rPr>
          <w:rFonts w:ascii="仿宋_GB2312" w:eastAsia="仿宋_GB2312" w:cs="黑体"/>
          <w:color w:val="auto"/>
          <w:sz w:val="32"/>
          <w:szCs w:val="32"/>
        </w:rPr>
      </w:pPr>
    </w:p>
    <w:p>
      <w:pPr>
        <w:spacing w:line="600" w:lineRule="exact"/>
        <w:jc w:val="center"/>
        <w:outlineLvl w:val="0"/>
        <w:rPr>
          <w:rStyle w:val="31"/>
          <w:rFonts w:ascii="黑体" w:hAnsi="黑体" w:eastAsia="黑体"/>
          <w:b w:val="0"/>
        </w:rPr>
      </w:pPr>
      <w:bookmarkStart w:id="51" w:name="_Toc15396614"/>
      <w:bookmarkStart w:id="52" w:name="_Toc15377226"/>
      <w:r>
        <w:rPr>
          <w:rFonts w:hint="eastAsia" w:ascii="黑体" w:hAnsi="黑体" w:eastAsia="黑体"/>
          <w:sz w:val="44"/>
          <w:szCs w:val="44"/>
        </w:rPr>
        <w:t>第</w:t>
      </w:r>
      <w:r>
        <w:rPr>
          <w:rStyle w:val="31"/>
          <w:rFonts w:hint="eastAsia" w:ascii="黑体" w:hAnsi="黑体" w:eastAsia="黑体"/>
          <w:b w:val="0"/>
        </w:rPr>
        <w:t>四部分附件</w:t>
      </w:r>
      <w:bookmarkEnd w:id="51"/>
    </w:p>
    <w:p>
      <w:pPr>
        <w:spacing w:line="572" w:lineRule="exact"/>
        <w:jc w:val="left"/>
        <w:outlineLvl w:val="0"/>
        <w:rPr>
          <w:rFonts w:ascii="仿宋_GB2312" w:hAnsi="仿宋_GB2312" w:eastAsia="仿宋_GB2312" w:cs="仿宋_GB2312"/>
          <w:sz w:val="32"/>
          <w:szCs w:val="32"/>
        </w:rPr>
      </w:pPr>
      <w:r>
        <w:rPr>
          <w:rFonts w:hint="eastAsia" w:ascii="黑体" w:hAnsi="黑体" w:eastAsia="黑体" w:cs="黑体"/>
          <w:sz w:val="32"/>
          <w:szCs w:val="32"/>
        </w:rPr>
        <w:t>附件</w:t>
      </w:r>
    </w:p>
    <w:tbl>
      <w:tblPr>
        <w:tblStyle w:val="7"/>
        <w:tblpPr w:leftFromText="180" w:rightFromText="180" w:vertAnchor="text" w:horzAnchor="page" w:tblpX="1370" w:tblpY="80"/>
        <w:tblOverlap w:val="never"/>
        <w:tblW w:w="9811" w:type="dxa"/>
        <w:tblInd w:w="0" w:type="dxa"/>
        <w:tblLayout w:type="fixed"/>
        <w:tblCellMar>
          <w:top w:w="0" w:type="dxa"/>
          <w:left w:w="108" w:type="dxa"/>
          <w:bottom w:w="0" w:type="dxa"/>
          <w:right w:w="108" w:type="dxa"/>
        </w:tblCellMar>
      </w:tblPr>
      <w:tblGrid>
        <w:gridCol w:w="1396"/>
        <w:gridCol w:w="900"/>
        <w:gridCol w:w="1392"/>
        <w:gridCol w:w="2579"/>
        <w:gridCol w:w="1176"/>
        <w:gridCol w:w="2132"/>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jc w:val="center"/>
              <w:textAlignment w:val="center"/>
              <w:rPr>
                <w:rFonts w:ascii="宋体" w:hAnsi="宋体" w:cs="宋体"/>
                <w:b/>
                <w:sz w:val="24"/>
              </w:rPr>
            </w:pPr>
            <w:bookmarkStart w:id="53" w:name="_Toc15396618"/>
            <w:r>
              <w:rPr>
                <w:rFonts w:hint="eastAsia" w:ascii="宋体" w:hAnsi="宋体" w:cs="宋体"/>
                <w:b/>
                <w:sz w:val="28"/>
                <w:szCs w:val="28"/>
              </w:rPr>
              <w:t>洪口镇余家湾村产业道路项目绩效目标自评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24"/>
              </w:rPr>
            </w:pPr>
          </w:p>
        </w:tc>
      </w:tr>
      <w:tr>
        <w:tblPrEx>
          <w:tblCellMar>
            <w:top w:w="0" w:type="dxa"/>
            <w:left w:w="108" w:type="dxa"/>
            <w:bottom w:w="0" w:type="dxa"/>
            <w:right w:w="108" w:type="dxa"/>
          </w:tblCellMar>
        </w:tblPrEx>
        <w:trPr>
          <w:gridAfter w:val="1"/>
          <w:wAfter w:w="234" w:type="dxa"/>
          <w:trHeight w:val="254" w:hRule="atLeast"/>
        </w:trPr>
        <w:tc>
          <w:tcPr>
            <w:tcW w:w="2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Cs w:val="21"/>
              </w:rPr>
            </w:pPr>
            <w:r>
              <w:rPr>
                <w:rFonts w:hint="eastAsia" w:ascii="宋体" w:hAnsi="宋体" w:cs="宋体"/>
                <w:kern w:val="0"/>
                <w:szCs w:val="21"/>
              </w:rPr>
              <w:t>主管部门及代码</w:t>
            </w:r>
          </w:p>
        </w:tc>
        <w:tc>
          <w:tcPr>
            <w:tcW w:w="39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Cs w:val="21"/>
              </w:rPr>
            </w:pPr>
            <w:r>
              <w:rPr>
                <w:rFonts w:hint="eastAsia" w:ascii="宋体" w:hAnsi="宋体" w:cs="宋体"/>
                <w:szCs w:val="21"/>
              </w:rPr>
              <w:t>通江县交通局</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Cs w:val="21"/>
              </w:rPr>
            </w:pPr>
            <w:r>
              <w:rPr>
                <w:rFonts w:hint="eastAsia" w:ascii="宋体" w:hAnsi="宋体" w:cs="宋体"/>
                <w:kern w:val="0"/>
                <w:szCs w:val="21"/>
              </w:rPr>
              <w:t>实施单位</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Cs w:val="21"/>
              </w:rPr>
            </w:pPr>
            <w:r>
              <w:rPr>
                <w:rFonts w:hint="eastAsia" w:ascii="宋体" w:hAnsi="宋体" w:cs="宋体"/>
                <w:szCs w:val="21"/>
              </w:rPr>
              <w:t>洪口镇人民政府</w:t>
            </w:r>
          </w:p>
        </w:tc>
      </w:tr>
      <w:tr>
        <w:tblPrEx>
          <w:tblCellMar>
            <w:top w:w="0" w:type="dxa"/>
            <w:left w:w="108" w:type="dxa"/>
            <w:bottom w:w="0" w:type="dxa"/>
            <w:right w:w="108" w:type="dxa"/>
          </w:tblCellMar>
        </w:tblPrEx>
        <w:trPr>
          <w:gridAfter w:val="1"/>
          <w:wAfter w:w="234" w:type="dxa"/>
          <w:trHeight w:val="341" w:hRule="atLeast"/>
        </w:trPr>
        <w:tc>
          <w:tcPr>
            <w:tcW w:w="229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Cs w:val="21"/>
              </w:rPr>
            </w:pPr>
            <w:r>
              <w:rPr>
                <w:rFonts w:hint="eastAsia" w:ascii="宋体" w:hAnsi="宋体" w:cs="宋体"/>
                <w:kern w:val="0"/>
                <w:szCs w:val="21"/>
              </w:rPr>
              <w:t>项目预算</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执行情况</w:t>
            </w:r>
          </w:p>
          <w:p>
            <w:pPr>
              <w:widowControl/>
              <w:spacing w:line="320" w:lineRule="exact"/>
              <w:jc w:val="center"/>
              <w:textAlignment w:val="center"/>
              <w:rPr>
                <w:rFonts w:ascii="宋体" w:hAnsi="宋体" w:cs="宋体"/>
                <w:szCs w:val="21"/>
              </w:rPr>
            </w:pPr>
            <w:r>
              <w:rPr>
                <w:rFonts w:hint="eastAsia" w:ascii="宋体" w:hAnsi="宋体" w:cs="宋体"/>
                <w:kern w:val="0"/>
                <w:szCs w:val="21"/>
              </w:rPr>
              <w:t>（万元）</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Cs w:val="21"/>
              </w:rPr>
            </w:pPr>
            <w:r>
              <w:rPr>
                <w:rFonts w:hint="eastAsia" w:ascii="宋体" w:hAnsi="宋体" w:cs="宋体"/>
                <w:kern w:val="0"/>
                <w:szCs w:val="21"/>
              </w:rPr>
              <w:t>预算数：</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Cs w:val="21"/>
              </w:rPr>
            </w:pPr>
            <w:r>
              <w:rPr>
                <w:rFonts w:hint="eastAsia" w:ascii="宋体" w:hAnsi="宋体" w:cs="宋体"/>
                <w:szCs w:val="21"/>
              </w:rPr>
              <w:t>192.9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Cs w:val="21"/>
              </w:rPr>
            </w:pPr>
            <w:r>
              <w:rPr>
                <w:rFonts w:hint="eastAsia" w:ascii="宋体" w:hAnsi="宋体" w:cs="宋体"/>
                <w:kern w:val="0"/>
                <w:szCs w:val="21"/>
              </w:rPr>
              <w:t>执行数：</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Cs w:val="21"/>
              </w:rPr>
            </w:pPr>
            <w:r>
              <w:rPr>
                <w:rFonts w:hint="eastAsia" w:ascii="宋体" w:hAnsi="宋体" w:cs="宋体"/>
                <w:szCs w:val="21"/>
              </w:rPr>
              <w:t>192.9</w:t>
            </w:r>
          </w:p>
        </w:tc>
      </w:tr>
      <w:tr>
        <w:tblPrEx>
          <w:tblCellMar>
            <w:top w:w="0" w:type="dxa"/>
            <w:left w:w="108" w:type="dxa"/>
            <w:bottom w:w="0" w:type="dxa"/>
            <w:right w:w="108" w:type="dxa"/>
          </w:tblCellMar>
        </w:tblPrEx>
        <w:trPr>
          <w:gridAfter w:val="1"/>
          <w:wAfter w:w="234" w:type="dxa"/>
          <w:trHeight w:val="606" w:hRule="atLeast"/>
        </w:trPr>
        <w:tc>
          <w:tcPr>
            <w:tcW w:w="22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Cs w:val="21"/>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Cs w:val="21"/>
              </w:rPr>
            </w:pPr>
            <w:r>
              <w:rPr>
                <w:rFonts w:hint="eastAsia" w:ascii="宋体" w:hAnsi="宋体" w:cs="宋体"/>
                <w:kern w:val="0"/>
                <w:szCs w:val="21"/>
              </w:rPr>
              <w:t>其中：</w:t>
            </w:r>
          </w:p>
          <w:p>
            <w:pPr>
              <w:widowControl/>
              <w:spacing w:line="320" w:lineRule="exact"/>
              <w:jc w:val="left"/>
              <w:textAlignment w:val="center"/>
              <w:rPr>
                <w:rFonts w:ascii="宋体" w:hAnsi="宋体" w:cs="宋体"/>
                <w:szCs w:val="21"/>
              </w:rPr>
            </w:pPr>
            <w:r>
              <w:rPr>
                <w:rFonts w:hint="eastAsia" w:ascii="宋体" w:hAnsi="宋体" w:cs="宋体"/>
                <w:kern w:val="0"/>
                <w:szCs w:val="21"/>
              </w:rPr>
              <w:t>财政拨款</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Cs w:val="21"/>
              </w:rPr>
            </w:pPr>
            <w:r>
              <w:rPr>
                <w:rFonts w:hint="eastAsia" w:ascii="宋体" w:hAnsi="宋体" w:cs="宋体"/>
                <w:szCs w:val="21"/>
              </w:rPr>
              <w:t>192.9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Cs w:val="21"/>
              </w:rPr>
            </w:pPr>
            <w:r>
              <w:rPr>
                <w:rFonts w:hint="eastAsia" w:ascii="宋体" w:hAnsi="宋体" w:cs="宋体"/>
                <w:kern w:val="0"/>
                <w:szCs w:val="21"/>
              </w:rPr>
              <w:t>其中：</w:t>
            </w:r>
          </w:p>
          <w:p>
            <w:pPr>
              <w:widowControl/>
              <w:spacing w:line="320" w:lineRule="exact"/>
              <w:jc w:val="left"/>
              <w:textAlignment w:val="center"/>
              <w:rPr>
                <w:rFonts w:ascii="宋体" w:hAnsi="宋体" w:cs="宋体"/>
                <w:szCs w:val="21"/>
              </w:rPr>
            </w:pPr>
            <w:r>
              <w:rPr>
                <w:rFonts w:hint="eastAsia" w:ascii="宋体" w:hAnsi="宋体" w:cs="宋体"/>
                <w:kern w:val="0"/>
                <w:szCs w:val="21"/>
              </w:rPr>
              <w:t>财政拨款</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Cs w:val="21"/>
              </w:rPr>
            </w:pPr>
            <w:r>
              <w:rPr>
                <w:rFonts w:hint="eastAsia" w:ascii="宋体" w:hAnsi="宋体" w:cs="宋体"/>
                <w:szCs w:val="21"/>
              </w:rPr>
              <w:t>192.9</w:t>
            </w:r>
          </w:p>
        </w:tc>
      </w:tr>
      <w:tr>
        <w:tblPrEx>
          <w:tblCellMar>
            <w:top w:w="0" w:type="dxa"/>
            <w:left w:w="108" w:type="dxa"/>
            <w:bottom w:w="0" w:type="dxa"/>
            <w:right w:w="108" w:type="dxa"/>
          </w:tblCellMar>
        </w:tblPrEx>
        <w:trPr>
          <w:gridAfter w:val="1"/>
          <w:wAfter w:w="234" w:type="dxa"/>
          <w:trHeight w:val="341" w:hRule="atLeast"/>
        </w:trPr>
        <w:tc>
          <w:tcPr>
            <w:tcW w:w="22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Cs w:val="21"/>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Cs w:val="21"/>
              </w:rPr>
            </w:pPr>
            <w:r>
              <w:rPr>
                <w:rFonts w:hint="eastAsia" w:ascii="宋体" w:hAnsi="宋体" w:cs="宋体"/>
                <w:kern w:val="0"/>
                <w:szCs w:val="21"/>
              </w:rPr>
              <w:t>其他资金</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Cs w:val="21"/>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Cs w:val="21"/>
              </w:rPr>
            </w:pPr>
            <w:r>
              <w:rPr>
                <w:rFonts w:hint="eastAsia" w:ascii="宋体" w:hAnsi="宋体" w:cs="宋体"/>
                <w:kern w:val="0"/>
                <w:szCs w:val="21"/>
              </w:rPr>
              <w:t>其他资金</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Cs w:val="21"/>
              </w:rPr>
            </w:pPr>
          </w:p>
        </w:tc>
      </w:tr>
      <w:tr>
        <w:tblPrEx>
          <w:tblCellMar>
            <w:top w:w="0" w:type="dxa"/>
            <w:left w:w="108" w:type="dxa"/>
            <w:bottom w:w="0" w:type="dxa"/>
            <w:right w:w="108" w:type="dxa"/>
          </w:tblCellMar>
        </w:tblPrEx>
        <w:trPr>
          <w:gridAfter w:val="1"/>
          <w:wAfter w:w="234" w:type="dxa"/>
          <w:trHeight w:val="217" w:hRule="atLeast"/>
        </w:trPr>
        <w:tc>
          <w:tcPr>
            <w:tcW w:w="13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Cs w:val="21"/>
              </w:rPr>
            </w:pPr>
            <w:r>
              <w:rPr>
                <w:rFonts w:hint="eastAsia" w:ascii="宋体" w:hAnsi="宋体" w:cs="宋体"/>
                <w:kern w:val="0"/>
                <w:szCs w:val="21"/>
              </w:rPr>
              <w:t>年度总体目标</w:t>
            </w:r>
          </w:p>
          <w:p>
            <w:pPr>
              <w:widowControl/>
              <w:spacing w:line="320" w:lineRule="exact"/>
              <w:jc w:val="center"/>
              <w:textAlignment w:val="center"/>
              <w:rPr>
                <w:rFonts w:ascii="宋体" w:hAnsi="宋体" w:cs="宋体"/>
                <w:szCs w:val="21"/>
              </w:rPr>
            </w:pPr>
            <w:r>
              <w:rPr>
                <w:rFonts w:hint="eastAsia" w:ascii="宋体" w:hAnsi="宋体" w:cs="宋体"/>
                <w:kern w:val="0"/>
                <w:szCs w:val="21"/>
              </w:rPr>
              <w:t>完成情况</w:t>
            </w:r>
          </w:p>
        </w:tc>
        <w:tc>
          <w:tcPr>
            <w:tcW w:w="48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Cs w:val="21"/>
              </w:rPr>
            </w:pPr>
            <w:r>
              <w:rPr>
                <w:rFonts w:hint="eastAsia" w:ascii="宋体" w:hAnsi="宋体" w:cs="宋体"/>
                <w:kern w:val="0"/>
                <w:szCs w:val="21"/>
              </w:rPr>
              <w:t>预期目标</w:t>
            </w:r>
          </w:p>
        </w:tc>
        <w:tc>
          <w:tcPr>
            <w:tcW w:w="33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Cs w:val="21"/>
              </w:rPr>
            </w:pPr>
            <w:r>
              <w:rPr>
                <w:rFonts w:hint="eastAsia" w:ascii="宋体" w:hAnsi="宋体" w:cs="宋体"/>
                <w:kern w:val="0"/>
                <w:szCs w:val="21"/>
              </w:rPr>
              <w:t>目标实际完成情况</w:t>
            </w:r>
          </w:p>
        </w:tc>
      </w:tr>
      <w:tr>
        <w:tblPrEx>
          <w:tblCellMar>
            <w:top w:w="0" w:type="dxa"/>
            <w:left w:w="108" w:type="dxa"/>
            <w:bottom w:w="0" w:type="dxa"/>
            <w:right w:w="108" w:type="dxa"/>
          </w:tblCellMar>
        </w:tblPrEx>
        <w:trPr>
          <w:gridAfter w:val="1"/>
          <w:wAfter w:w="234" w:type="dxa"/>
          <w:trHeight w:val="948" w:hRule="atLeast"/>
        </w:trPr>
        <w:tc>
          <w:tcPr>
            <w:tcW w:w="13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Cs w:val="21"/>
              </w:rPr>
            </w:pPr>
          </w:p>
        </w:tc>
        <w:tc>
          <w:tcPr>
            <w:tcW w:w="4872"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Cs w:val="21"/>
              </w:rPr>
            </w:pPr>
            <w:r>
              <w:rPr>
                <w:rFonts w:hint="eastAsia" w:ascii="宋体" w:hAnsi="宋体" w:cs="宋体"/>
                <w:szCs w:val="21"/>
              </w:rPr>
              <w:t>余家湾村新建道路，进一步完善基础设施建设，解决群众出行困难的问题，提高群众的生产生活质量，保障群众的生命财产安全。</w:t>
            </w:r>
          </w:p>
        </w:tc>
        <w:tc>
          <w:tcPr>
            <w:tcW w:w="3308"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Cs w:val="21"/>
              </w:rPr>
            </w:pPr>
            <w:r>
              <w:rPr>
                <w:rFonts w:hint="eastAsia" w:ascii="宋体" w:hAnsi="宋体" w:cs="宋体"/>
                <w:szCs w:val="21"/>
              </w:rPr>
              <w:t>余家湾村新建道路，进一步完善基础设施建设，解决群众出行困难的问题，提高群众的生产生活质量，保障群众的生命财产安全。</w:t>
            </w:r>
          </w:p>
        </w:tc>
      </w:tr>
      <w:tr>
        <w:tblPrEx>
          <w:tblCellMar>
            <w:top w:w="0" w:type="dxa"/>
            <w:left w:w="108" w:type="dxa"/>
            <w:bottom w:w="0" w:type="dxa"/>
            <w:right w:w="108" w:type="dxa"/>
          </w:tblCellMar>
        </w:tblPrEx>
        <w:trPr>
          <w:gridAfter w:val="1"/>
          <w:wAfter w:w="234" w:type="dxa"/>
          <w:trHeight w:val="693" w:hRule="atLeast"/>
        </w:trPr>
        <w:tc>
          <w:tcPr>
            <w:tcW w:w="13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kern w:val="0"/>
                <w:sz w:val="28"/>
                <w:szCs w:val="28"/>
              </w:rPr>
              <w:t>年度绩效指标完成情况</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一级</w:t>
            </w:r>
          </w:p>
          <w:p>
            <w:pPr>
              <w:widowControl/>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指标</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二级</w:t>
            </w:r>
          </w:p>
          <w:p>
            <w:pPr>
              <w:widowControl/>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指标</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三级</w:t>
            </w:r>
          </w:p>
          <w:p>
            <w:pPr>
              <w:widowControl/>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指标</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预期指标值</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实际完成指标值</w:t>
            </w:r>
          </w:p>
        </w:tc>
      </w:tr>
      <w:tr>
        <w:tblPrEx>
          <w:tblCellMar>
            <w:top w:w="0" w:type="dxa"/>
            <w:left w:w="108" w:type="dxa"/>
            <w:bottom w:w="0" w:type="dxa"/>
            <w:right w:w="108" w:type="dxa"/>
          </w:tblCellMar>
        </w:tblPrEx>
        <w:trPr>
          <w:gridAfter w:val="1"/>
          <w:wAfter w:w="234" w:type="dxa"/>
          <w:trHeight w:val="369" w:hRule="atLeast"/>
        </w:trPr>
        <w:tc>
          <w:tcPr>
            <w:tcW w:w="13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rPr>
            </w:pP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kern w:val="0"/>
                <w:sz w:val="24"/>
              </w:rPr>
              <w:t>完成</w:t>
            </w:r>
          </w:p>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kern w:val="0"/>
                <w:sz w:val="24"/>
              </w:rPr>
              <w:t>指标</w:t>
            </w:r>
          </w:p>
        </w:tc>
        <w:tc>
          <w:tcPr>
            <w:tcW w:w="13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kern w:val="0"/>
                <w:sz w:val="20"/>
                <w:szCs w:val="20"/>
              </w:rPr>
              <w:t>数量指标</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kern w:val="0"/>
                <w:sz w:val="20"/>
                <w:szCs w:val="20"/>
              </w:rPr>
              <w:t>道路加宽里程数</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kern w:val="0"/>
                <w:sz w:val="20"/>
                <w:szCs w:val="20"/>
              </w:rPr>
              <w:t>2.86公里</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kern w:val="0"/>
                <w:sz w:val="20"/>
                <w:szCs w:val="20"/>
              </w:rPr>
              <w:t>2.86公里</w:t>
            </w:r>
          </w:p>
        </w:tc>
      </w:tr>
      <w:tr>
        <w:tblPrEx>
          <w:tblCellMar>
            <w:top w:w="0" w:type="dxa"/>
            <w:left w:w="108" w:type="dxa"/>
            <w:bottom w:w="0" w:type="dxa"/>
            <w:right w:w="108" w:type="dxa"/>
          </w:tblCellMar>
        </w:tblPrEx>
        <w:trPr>
          <w:gridAfter w:val="1"/>
          <w:wAfter w:w="234" w:type="dxa"/>
          <w:trHeight w:val="321" w:hRule="atLeast"/>
        </w:trPr>
        <w:tc>
          <w:tcPr>
            <w:tcW w:w="13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4"/>
              </w:rPr>
            </w:pPr>
          </w:p>
        </w:tc>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8"/>
                <w:szCs w:val="28"/>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kern w:val="0"/>
                <w:sz w:val="20"/>
                <w:szCs w:val="20"/>
              </w:rPr>
              <w:t>实现受益人口</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kern w:val="0"/>
                <w:sz w:val="20"/>
                <w:szCs w:val="20"/>
              </w:rPr>
              <w:t>≥100人</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kern w:val="0"/>
                <w:sz w:val="20"/>
                <w:szCs w:val="20"/>
              </w:rPr>
              <w:t>400人</w:t>
            </w:r>
          </w:p>
        </w:tc>
      </w:tr>
      <w:tr>
        <w:tblPrEx>
          <w:tblCellMar>
            <w:top w:w="0" w:type="dxa"/>
            <w:left w:w="108" w:type="dxa"/>
            <w:bottom w:w="0" w:type="dxa"/>
            <w:right w:w="108" w:type="dxa"/>
          </w:tblCellMar>
        </w:tblPrEx>
        <w:trPr>
          <w:gridAfter w:val="1"/>
          <w:wAfter w:w="234" w:type="dxa"/>
          <w:trHeight w:val="345" w:hRule="atLeast"/>
        </w:trPr>
        <w:tc>
          <w:tcPr>
            <w:tcW w:w="13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4"/>
              </w:rPr>
            </w:pPr>
          </w:p>
        </w:tc>
        <w:tc>
          <w:tcPr>
            <w:tcW w:w="13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kern w:val="0"/>
                <w:sz w:val="20"/>
                <w:szCs w:val="20"/>
              </w:rPr>
              <w:t>质量指标</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kern w:val="0"/>
                <w:sz w:val="20"/>
                <w:szCs w:val="20"/>
              </w:rPr>
              <w:t>项目（工程）设计合格率</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kern w:val="0"/>
                <w:sz w:val="20"/>
                <w:szCs w:val="20"/>
              </w:rPr>
              <w:t>＝100%</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kern w:val="0"/>
                <w:sz w:val="20"/>
                <w:szCs w:val="20"/>
              </w:rPr>
              <w:t>100%</w:t>
            </w:r>
          </w:p>
        </w:tc>
      </w:tr>
      <w:tr>
        <w:tblPrEx>
          <w:tblCellMar>
            <w:top w:w="0" w:type="dxa"/>
            <w:left w:w="108" w:type="dxa"/>
            <w:bottom w:w="0" w:type="dxa"/>
            <w:right w:w="108" w:type="dxa"/>
          </w:tblCellMar>
        </w:tblPrEx>
        <w:trPr>
          <w:gridAfter w:val="1"/>
          <w:wAfter w:w="234" w:type="dxa"/>
          <w:trHeight w:val="374" w:hRule="atLeast"/>
        </w:trPr>
        <w:tc>
          <w:tcPr>
            <w:tcW w:w="13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4"/>
              </w:rPr>
            </w:pPr>
          </w:p>
        </w:tc>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8"/>
                <w:szCs w:val="28"/>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kern w:val="0"/>
                <w:sz w:val="20"/>
                <w:szCs w:val="20"/>
              </w:rPr>
              <w:t>沥青混凝土厚度</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kern w:val="0"/>
                <w:sz w:val="20"/>
                <w:szCs w:val="20"/>
              </w:rPr>
              <w:t>≥20厘米</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kern w:val="0"/>
                <w:sz w:val="20"/>
                <w:szCs w:val="20"/>
              </w:rPr>
              <w:t>20厘米</w:t>
            </w:r>
          </w:p>
        </w:tc>
      </w:tr>
      <w:tr>
        <w:tblPrEx>
          <w:tblCellMar>
            <w:top w:w="0" w:type="dxa"/>
            <w:left w:w="108" w:type="dxa"/>
            <w:bottom w:w="0" w:type="dxa"/>
            <w:right w:w="108" w:type="dxa"/>
          </w:tblCellMar>
        </w:tblPrEx>
        <w:trPr>
          <w:gridAfter w:val="1"/>
          <w:wAfter w:w="234" w:type="dxa"/>
          <w:trHeight w:val="604" w:hRule="atLeast"/>
        </w:trPr>
        <w:tc>
          <w:tcPr>
            <w:tcW w:w="13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4"/>
              </w:rPr>
            </w:pPr>
          </w:p>
        </w:tc>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8"/>
                <w:szCs w:val="28"/>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kern w:val="0"/>
                <w:sz w:val="20"/>
                <w:szCs w:val="20"/>
              </w:rPr>
              <w:t>余家湾村产业道路项目（工程）按时开工</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kern w:val="0"/>
                <w:sz w:val="20"/>
                <w:szCs w:val="20"/>
              </w:rPr>
              <w:t>＝100%</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kern w:val="0"/>
                <w:sz w:val="20"/>
                <w:szCs w:val="20"/>
              </w:rPr>
              <w:t>100%</w:t>
            </w:r>
          </w:p>
        </w:tc>
      </w:tr>
      <w:tr>
        <w:tblPrEx>
          <w:tblCellMar>
            <w:top w:w="0" w:type="dxa"/>
            <w:left w:w="108" w:type="dxa"/>
            <w:bottom w:w="0" w:type="dxa"/>
            <w:right w:w="108" w:type="dxa"/>
          </w:tblCellMar>
        </w:tblPrEx>
        <w:trPr>
          <w:gridAfter w:val="1"/>
          <w:wAfter w:w="234" w:type="dxa"/>
          <w:trHeight w:val="350" w:hRule="atLeast"/>
        </w:trPr>
        <w:tc>
          <w:tcPr>
            <w:tcW w:w="13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4"/>
              </w:rPr>
            </w:pPr>
          </w:p>
        </w:tc>
        <w:tc>
          <w:tcPr>
            <w:tcW w:w="13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kern w:val="0"/>
                <w:sz w:val="20"/>
                <w:szCs w:val="20"/>
              </w:rPr>
              <w:t>时效指标</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kern w:val="0"/>
                <w:sz w:val="20"/>
                <w:szCs w:val="20"/>
              </w:rPr>
              <w:t>开工时间</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kern w:val="0"/>
                <w:sz w:val="20"/>
                <w:szCs w:val="20"/>
              </w:rPr>
              <w:t>2021.11.1</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kern w:val="0"/>
                <w:sz w:val="20"/>
                <w:szCs w:val="20"/>
              </w:rPr>
              <w:t>2021.12.1</w:t>
            </w:r>
          </w:p>
        </w:tc>
      </w:tr>
      <w:tr>
        <w:tblPrEx>
          <w:tblCellMar>
            <w:top w:w="0" w:type="dxa"/>
            <w:left w:w="108" w:type="dxa"/>
            <w:bottom w:w="0" w:type="dxa"/>
            <w:right w:w="108" w:type="dxa"/>
          </w:tblCellMar>
        </w:tblPrEx>
        <w:trPr>
          <w:gridAfter w:val="1"/>
          <w:wAfter w:w="234" w:type="dxa"/>
          <w:trHeight w:val="413" w:hRule="atLeast"/>
        </w:trPr>
        <w:tc>
          <w:tcPr>
            <w:tcW w:w="13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4"/>
              </w:rPr>
            </w:pPr>
          </w:p>
        </w:tc>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8"/>
                <w:szCs w:val="28"/>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kern w:val="0"/>
                <w:sz w:val="20"/>
                <w:szCs w:val="20"/>
              </w:rPr>
              <w:t>完工时间</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kern w:val="0"/>
                <w:sz w:val="20"/>
                <w:szCs w:val="20"/>
              </w:rPr>
              <w:t>正在实施中</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kern w:val="0"/>
                <w:sz w:val="20"/>
                <w:szCs w:val="20"/>
              </w:rPr>
              <w:t>正在实施中</w:t>
            </w:r>
          </w:p>
        </w:tc>
      </w:tr>
      <w:tr>
        <w:tblPrEx>
          <w:tblCellMar>
            <w:top w:w="0" w:type="dxa"/>
            <w:left w:w="108" w:type="dxa"/>
            <w:bottom w:w="0" w:type="dxa"/>
            <w:right w:w="108" w:type="dxa"/>
          </w:tblCellMar>
        </w:tblPrEx>
        <w:trPr>
          <w:gridAfter w:val="1"/>
          <w:wAfter w:w="234" w:type="dxa"/>
          <w:trHeight w:val="480" w:hRule="atLeast"/>
        </w:trPr>
        <w:tc>
          <w:tcPr>
            <w:tcW w:w="13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4"/>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kern w:val="0"/>
                <w:sz w:val="20"/>
                <w:szCs w:val="20"/>
              </w:rPr>
              <w:t>成本指标</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kern w:val="0"/>
                <w:sz w:val="20"/>
                <w:szCs w:val="20"/>
              </w:rPr>
              <w:t>新建2.86米宽道路硬化补助标准</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kern w:val="0"/>
                <w:sz w:val="20"/>
                <w:szCs w:val="20"/>
              </w:rPr>
              <w:t>40万元/公里</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kern w:val="0"/>
                <w:sz w:val="20"/>
                <w:szCs w:val="20"/>
              </w:rPr>
              <w:t>40万元/公里</w:t>
            </w:r>
          </w:p>
        </w:tc>
      </w:tr>
      <w:tr>
        <w:tblPrEx>
          <w:tblCellMar>
            <w:top w:w="0" w:type="dxa"/>
            <w:left w:w="108" w:type="dxa"/>
            <w:bottom w:w="0" w:type="dxa"/>
            <w:right w:w="108" w:type="dxa"/>
          </w:tblCellMar>
        </w:tblPrEx>
        <w:trPr>
          <w:gridAfter w:val="1"/>
          <w:wAfter w:w="234" w:type="dxa"/>
          <w:trHeight w:val="400" w:hRule="atLeast"/>
        </w:trPr>
        <w:tc>
          <w:tcPr>
            <w:tcW w:w="13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rPr>
            </w:pP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kern w:val="0"/>
                <w:sz w:val="24"/>
              </w:rPr>
              <w:t>效益</w:t>
            </w:r>
          </w:p>
          <w:p>
            <w:pPr>
              <w:widowControl/>
              <w:spacing w:line="32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kern w:val="0"/>
                <w:sz w:val="24"/>
              </w:rPr>
              <w:t>指标</w:t>
            </w:r>
          </w:p>
        </w:tc>
        <w:tc>
          <w:tcPr>
            <w:tcW w:w="13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经济效益</w:t>
            </w:r>
          </w:p>
          <w:p>
            <w:pPr>
              <w:widowControl/>
              <w:jc w:val="center"/>
              <w:textAlignment w:val="center"/>
              <w:rPr>
                <w:rFonts w:ascii="仿宋_GB2312" w:hAnsi="仿宋_GB2312" w:eastAsia="仿宋_GB2312" w:cs="仿宋_GB2312"/>
                <w:sz w:val="28"/>
                <w:szCs w:val="28"/>
              </w:rPr>
            </w:pPr>
            <w:r>
              <w:rPr>
                <w:rFonts w:hint="eastAsia" w:ascii="宋体" w:hAnsi="宋体" w:cs="宋体"/>
                <w:kern w:val="0"/>
                <w:sz w:val="20"/>
                <w:szCs w:val="20"/>
              </w:rPr>
              <w:t>指标</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kern w:val="0"/>
                <w:sz w:val="20"/>
                <w:szCs w:val="20"/>
              </w:rPr>
              <w:t>促进村集体经济发展收入</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kern w:val="0"/>
                <w:sz w:val="20"/>
                <w:szCs w:val="20"/>
              </w:rPr>
              <w:t>≥1万元</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kern w:val="0"/>
                <w:sz w:val="20"/>
                <w:szCs w:val="20"/>
              </w:rPr>
              <w:t>1万元</w:t>
            </w:r>
          </w:p>
        </w:tc>
      </w:tr>
      <w:tr>
        <w:tblPrEx>
          <w:tblCellMar>
            <w:top w:w="0" w:type="dxa"/>
            <w:left w:w="108" w:type="dxa"/>
            <w:bottom w:w="0" w:type="dxa"/>
            <w:right w:w="108" w:type="dxa"/>
          </w:tblCellMar>
        </w:tblPrEx>
        <w:trPr>
          <w:gridAfter w:val="1"/>
          <w:wAfter w:w="234" w:type="dxa"/>
          <w:trHeight w:val="530" w:hRule="atLeast"/>
        </w:trPr>
        <w:tc>
          <w:tcPr>
            <w:tcW w:w="13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4"/>
              </w:rPr>
            </w:pPr>
          </w:p>
        </w:tc>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kern w:val="0"/>
                <w:sz w:val="28"/>
                <w:szCs w:val="28"/>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kern w:val="0"/>
                <w:sz w:val="20"/>
                <w:szCs w:val="20"/>
              </w:rPr>
              <w:t>增加村民平均经济收入</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kern w:val="0"/>
                <w:sz w:val="20"/>
                <w:szCs w:val="20"/>
              </w:rPr>
              <w:t>≥800元</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kern w:val="0"/>
                <w:sz w:val="20"/>
                <w:szCs w:val="20"/>
              </w:rPr>
              <w:t>780元</w:t>
            </w:r>
          </w:p>
        </w:tc>
      </w:tr>
      <w:tr>
        <w:tblPrEx>
          <w:tblCellMar>
            <w:top w:w="0" w:type="dxa"/>
            <w:left w:w="108" w:type="dxa"/>
            <w:bottom w:w="0" w:type="dxa"/>
            <w:right w:w="108" w:type="dxa"/>
          </w:tblCellMar>
        </w:tblPrEx>
        <w:trPr>
          <w:gridAfter w:val="1"/>
          <w:wAfter w:w="234" w:type="dxa"/>
          <w:trHeight w:val="458" w:hRule="atLeast"/>
        </w:trPr>
        <w:tc>
          <w:tcPr>
            <w:tcW w:w="13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4"/>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社会效益</w:t>
            </w:r>
          </w:p>
          <w:p>
            <w:pPr>
              <w:widowControl/>
              <w:jc w:val="center"/>
              <w:textAlignment w:val="center"/>
              <w:rPr>
                <w:rFonts w:ascii="仿宋_GB2312" w:hAnsi="仿宋_GB2312" w:eastAsia="仿宋_GB2312" w:cs="仿宋_GB2312"/>
                <w:kern w:val="0"/>
                <w:sz w:val="28"/>
                <w:szCs w:val="28"/>
              </w:rPr>
            </w:pPr>
            <w:r>
              <w:rPr>
                <w:rFonts w:hint="eastAsia" w:ascii="宋体" w:hAnsi="宋体" w:cs="宋体"/>
                <w:kern w:val="0"/>
                <w:sz w:val="20"/>
                <w:szCs w:val="20"/>
              </w:rPr>
              <w:t>指标</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kern w:val="0"/>
                <w:sz w:val="20"/>
                <w:szCs w:val="20"/>
              </w:rPr>
              <w:t>缩短村民出行时间</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kern w:val="0"/>
                <w:sz w:val="20"/>
                <w:szCs w:val="20"/>
              </w:rPr>
              <w:t>≥0.5小时</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kern w:val="0"/>
                <w:sz w:val="20"/>
                <w:szCs w:val="20"/>
              </w:rPr>
              <w:t>0.5小时</w:t>
            </w:r>
          </w:p>
        </w:tc>
      </w:tr>
      <w:tr>
        <w:tblPrEx>
          <w:tblCellMar>
            <w:top w:w="0" w:type="dxa"/>
            <w:left w:w="108" w:type="dxa"/>
            <w:bottom w:w="0" w:type="dxa"/>
            <w:right w:w="108" w:type="dxa"/>
          </w:tblCellMar>
        </w:tblPrEx>
        <w:trPr>
          <w:gridAfter w:val="1"/>
          <w:wAfter w:w="234" w:type="dxa"/>
          <w:trHeight w:val="446" w:hRule="atLeast"/>
        </w:trPr>
        <w:tc>
          <w:tcPr>
            <w:tcW w:w="13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4"/>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生态效益</w:t>
            </w:r>
          </w:p>
          <w:p>
            <w:pPr>
              <w:widowControl/>
              <w:jc w:val="center"/>
              <w:textAlignment w:val="center"/>
              <w:rPr>
                <w:rFonts w:ascii="仿宋_GB2312" w:hAnsi="仿宋_GB2312" w:eastAsia="仿宋_GB2312" w:cs="仿宋_GB2312"/>
                <w:kern w:val="0"/>
                <w:sz w:val="28"/>
                <w:szCs w:val="28"/>
              </w:rPr>
            </w:pPr>
            <w:r>
              <w:rPr>
                <w:rFonts w:hint="eastAsia" w:ascii="宋体" w:hAnsi="宋体" w:cs="宋体"/>
                <w:kern w:val="0"/>
                <w:sz w:val="20"/>
                <w:szCs w:val="20"/>
              </w:rPr>
              <w:t>指标</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kern w:val="0"/>
                <w:sz w:val="20"/>
                <w:szCs w:val="20"/>
              </w:rPr>
              <w:t>新建公路（道路段）列养率</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kern w:val="0"/>
                <w:sz w:val="20"/>
                <w:szCs w:val="20"/>
              </w:rPr>
              <w:t>100%</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kern w:val="0"/>
                <w:sz w:val="20"/>
                <w:szCs w:val="20"/>
              </w:rPr>
              <w:t>100%</w:t>
            </w:r>
          </w:p>
        </w:tc>
      </w:tr>
      <w:tr>
        <w:tblPrEx>
          <w:tblCellMar>
            <w:top w:w="0" w:type="dxa"/>
            <w:left w:w="108" w:type="dxa"/>
            <w:bottom w:w="0" w:type="dxa"/>
            <w:right w:w="108" w:type="dxa"/>
          </w:tblCellMar>
        </w:tblPrEx>
        <w:trPr>
          <w:gridAfter w:val="1"/>
          <w:wAfter w:w="234" w:type="dxa"/>
          <w:trHeight w:val="530" w:hRule="atLeast"/>
        </w:trPr>
        <w:tc>
          <w:tcPr>
            <w:tcW w:w="13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4"/>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0"/>
                <w:sz w:val="28"/>
                <w:szCs w:val="28"/>
              </w:rPr>
            </w:pPr>
            <w:r>
              <w:rPr>
                <w:rFonts w:hint="eastAsia" w:ascii="宋体" w:hAnsi="宋体" w:cs="宋体"/>
                <w:kern w:val="0"/>
                <w:sz w:val="20"/>
                <w:szCs w:val="20"/>
              </w:rPr>
              <w:t>可持续影响指标</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kern w:val="0"/>
                <w:sz w:val="20"/>
                <w:szCs w:val="20"/>
              </w:rPr>
              <w:t>工程设计使用年限</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kern w:val="0"/>
                <w:sz w:val="20"/>
                <w:szCs w:val="20"/>
              </w:rPr>
              <w:t>≥10年</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kern w:val="0"/>
                <w:sz w:val="20"/>
                <w:szCs w:val="20"/>
              </w:rPr>
              <w:t>10年</w:t>
            </w:r>
          </w:p>
        </w:tc>
      </w:tr>
      <w:tr>
        <w:tblPrEx>
          <w:tblCellMar>
            <w:top w:w="0" w:type="dxa"/>
            <w:left w:w="108" w:type="dxa"/>
            <w:bottom w:w="0" w:type="dxa"/>
            <w:right w:w="108" w:type="dxa"/>
          </w:tblCellMar>
        </w:tblPrEx>
        <w:trPr>
          <w:gridAfter w:val="1"/>
          <w:wAfter w:w="234" w:type="dxa"/>
          <w:trHeight w:val="530" w:hRule="atLeast"/>
        </w:trPr>
        <w:tc>
          <w:tcPr>
            <w:tcW w:w="13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kern w:val="0"/>
                <w:sz w:val="24"/>
              </w:rPr>
              <w:t>满意</w:t>
            </w:r>
          </w:p>
          <w:p>
            <w:pPr>
              <w:widowControl/>
              <w:spacing w:line="32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kern w:val="0"/>
                <w:sz w:val="24"/>
              </w:rPr>
              <w:t>度指标</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服务对象</w:t>
            </w:r>
          </w:p>
          <w:p>
            <w:pPr>
              <w:widowControl/>
              <w:jc w:val="center"/>
              <w:textAlignment w:val="center"/>
              <w:rPr>
                <w:rFonts w:ascii="仿宋_GB2312" w:hAnsi="仿宋_GB2312" w:eastAsia="仿宋_GB2312" w:cs="仿宋_GB2312"/>
                <w:kern w:val="0"/>
                <w:sz w:val="28"/>
                <w:szCs w:val="28"/>
              </w:rPr>
            </w:pPr>
            <w:r>
              <w:rPr>
                <w:rFonts w:hint="eastAsia" w:ascii="宋体" w:hAnsi="宋体" w:cs="宋体"/>
                <w:kern w:val="0"/>
                <w:sz w:val="20"/>
                <w:szCs w:val="20"/>
              </w:rPr>
              <w:t>满意度指标</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kern w:val="0"/>
                <w:sz w:val="20"/>
                <w:szCs w:val="20"/>
              </w:rPr>
              <w:t>受益群众对道路建设满意度</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kern w:val="0"/>
                <w:sz w:val="20"/>
                <w:szCs w:val="20"/>
              </w:rPr>
              <w:t>≥99%</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kern w:val="0"/>
                <w:sz w:val="20"/>
                <w:szCs w:val="20"/>
              </w:rPr>
              <w:t>95%</w:t>
            </w:r>
          </w:p>
        </w:tc>
      </w:tr>
    </w:tbl>
    <w:p>
      <w:pPr>
        <w:spacing w:line="600" w:lineRule="exact"/>
        <w:jc w:val="center"/>
        <w:outlineLvl w:val="0"/>
        <w:rPr>
          <w:rFonts w:ascii="仿宋" w:hAnsi="仿宋" w:eastAsia="仿宋"/>
        </w:rPr>
      </w:pPr>
      <w:r>
        <w:rPr>
          <w:rFonts w:hint="eastAsia" w:ascii="黑体" w:hAnsi="黑体" w:eastAsia="黑体"/>
          <w:sz w:val="44"/>
          <w:szCs w:val="44"/>
        </w:rPr>
        <w:t>第</w:t>
      </w:r>
      <w:r>
        <w:rPr>
          <w:rStyle w:val="31"/>
          <w:rFonts w:hint="eastAsia" w:ascii="黑体" w:hAnsi="黑体" w:eastAsia="黑体"/>
          <w:b w:val="0"/>
        </w:rPr>
        <w:t>五部分附表</w:t>
      </w:r>
      <w:bookmarkEnd w:id="52"/>
      <w:bookmarkEnd w:id="53"/>
      <w:bookmarkStart w:id="54" w:name="_Toc15396619"/>
    </w:p>
    <w:p>
      <w:pPr>
        <w:pStyle w:val="14"/>
        <w:rPr>
          <w:rFonts w:ascii="仿宋" w:hAnsi="仿宋" w:eastAsia="仿宋"/>
        </w:rPr>
      </w:pPr>
      <w:r>
        <w:rPr>
          <w:rFonts w:hint="eastAsia" w:ascii="仿宋" w:hAnsi="仿宋" w:eastAsia="仿宋"/>
          <w:b w:val="0"/>
        </w:rPr>
        <w:t>一、收</w:t>
      </w:r>
      <w:r>
        <w:rPr>
          <w:rStyle w:val="32"/>
          <w:rFonts w:hint="eastAsia" w:ascii="仿宋" w:hAnsi="仿宋" w:eastAsia="仿宋"/>
          <w:b w:val="0"/>
          <w:bCs w:val="0"/>
        </w:rPr>
        <w:t>入支出决算总表</w:t>
      </w:r>
      <w:bookmarkEnd w:id="54"/>
    </w:p>
    <w:p>
      <w:pPr>
        <w:pStyle w:val="14"/>
        <w:rPr>
          <w:rFonts w:ascii="仿宋" w:hAnsi="仿宋" w:eastAsia="仿宋"/>
        </w:rPr>
      </w:pPr>
      <w:bookmarkStart w:id="55" w:name="_Toc15396620"/>
      <w:r>
        <w:rPr>
          <w:rFonts w:hint="eastAsia" w:ascii="仿宋" w:hAnsi="仿宋" w:eastAsia="仿宋"/>
          <w:b w:val="0"/>
        </w:rPr>
        <w:t>二、收</w:t>
      </w:r>
      <w:r>
        <w:rPr>
          <w:rStyle w:val="32"/>
          <w:rFonts w:hint="eastAsia" w:ascii="仿宋" w:hAnsi="仿宋" w:eastAsia="仿宋"/>
          <w:b w:val="0"/>
          <w:bCs w:val="0"/>
        </w:rPr>
        <w:t>入决算表</w:t>
      </w:r>
      <w:bookmarkEnd w:id="55"/>
    </w:p>
    <w:p>
      <w:pPr>
        <w:pStyle w:val="14"/>
        <w:rPr>
          <w:rFonts w:ascii="仿宋" w:hAnsi="仿宋" w:eastAsia="仿宋"/>
        </w:rPr>
      </w:pPr>
      <w:bookmarkStart w:id="56" w:name="_Toc15396621"/>
      <w:r>
        <w:rPr>
          <w:rStyle w:val="32"/>
          <w:rFonts w:hint="eastAsia" w:ascii="仿宋" w:hAnsi="仿宋" w:eastAsia="仿宋"/>
          <w:b w:val="0"/>
          <w:bCs w:val="0"/>
        </w:rPr>
        <w:t>三、</w:t>
      </w:r>
      <w:r>
        <w:rPr>
          <w:rFonts w:hint="eastAsia" w:ascii="仿宋" w:hAnsi="仿宋" w:eastAsia="仿宋"/>
          <w:b w:val="0"/>
        </w:rPr>
        <w:t>支</w:t>
      </w:r>
      <w:r>
        <w:rPr>
          <w:rStyle w:val="32"/>
          <w:rFonts w:hint="eastAsia" w:ascii="仿宋" w:hAnsi="仿宋" w:eastAsia="仿宋"/>
          <w:b w:val="0"/>
          <w:bCs w:val="0"/>
        </w:rPr>
        <w:t>出决算表</w:t>
      </w:r>
      <w:bookmarkEnd w:id="56"/>
    </w:p>
    <w:p>
      <w:pPr>
        <w:pStyle w:val="14"/>
        <w:rPr>
          <w:rFonts w:ascii="仿宋" w:hAnsi="仿宋" w:eastAsia="仿宋"/>
          <w:b w:val="0"/>
        </w:rPr>
      </w:pPr>
      <w:bookmarkStart w:id="57" w:name="_Toc15396622"/>
      <w:r>
        <w:rPr>
          <w:rStyle w:val="32"/>
          <w:rFonts w:hint="eastAsia" w:ascii="仿宋" w:hAnsi="仿宋" w:eastAsia="仿宋"/>
          <w:b w:val="0"/>
          <w:bCs w:val="0"/>
        </w:rPr>
        <w:t>四、</w:t>
      </w:r>
      <w:r>
        <w:rPr>
          <w:rFonts w:hint="eastAsia" w:ascii="仿宋" w:hAnsi="仿宋" w:eastAsia="仿宋"/>
          <w:b w:val="0"/>
        </w:rPr>
        <w:t>财</w:t>
      </w:r>
      <w:r>
        <w:rPr>
          <w:rStyle w:val="32"/>
          <w:rFonts w:hint="eastAsia" w:ascii="仿宋" w:hAnsi="仿宋" w:eastAsia="仿宋"/>
          <w:b w:val="0"/>
          <w:bCs w:val="0"/>
        </w:rPr>
        <w:t>政拨款收入支出决算总表</w:t>
      </w:r>
      <w:bookmarkEnd w:id="57"/>
    </w:p>
    <w:p>
      <w:pPr>
        <w:pStyle w:val="14"/>
        <w:rPr>
          <w:rStyle w:val="32"/>
          <w:rFonts w:ascii="仿宋" w:hAnsi="仿宋" w:eastAsia="仿宋"/>
          <w:b w:val="0"/>
          <w:bCs w:val="0"/>
        </w:rPr>
      </w:pPr>
      <w:bookmarkStart w:id="58" w:name="_Toc15396623"/>
      <w:r>
        <w:rPr>
          <w:rStyle w:val="32"/>
          <w:rFonts w:hint="eastAsia" w:ascii="仿宋" w:hAnsi="仿宋" w:eastAsia="仿宋"/>
          <w:b w:val="0"/>
          <w:bCs w:val="0"/>
        </w:rPr>
        <w:t>五、</w:t>
      </w:r>
      <w:r>
        <w:rPr>
          <w:rFonts w:hint="eastAsia" w:ascii="仿宋" w:hAnsi="仿宋" w:eastAsia="仿宋"/>
          <w:b w:val="0"/>
        </w:rPr>
        <w:t>财</w:t>
      </w:r>
      <w:r>
        <w:rPr>
          <w:rStyle w:val="32"/>
          <w:rFonts w:hint="eastAsia" w:ascii="仿宋" w:hAnsi="仿宋" w:eastAsia="仿宋"/>
          <w:b w:val="0"/>
          <w:bCs w:val="0"/>
        </w:rPr>
        <w:t>政拨款支出决算明细表</w:t>
      </w:r>
      <w:bookmarkEnd w:id="58"/>
      <w:bookmarkStart w:id="59" w:name="_Toc15396624"/>
    </w:p>
    <w:p>
      <w:pPr>
        <w:pStyle w:val="14"/>
        <w:rPr>
          <w:rFonts w:ascii="仿宋" w:hAnsi="仿宋" w:eastAsia="仿宋"/>
        </w:rPr>
      </w:pPr>
      <w:r>
        <w:rPr>
          <w:rStyle w:val="32"/>
          <w:rFonts w:hint="eastAsia" w:ascii="仿宋" w:hAnsi="仿宋" w:eastAsia="仿宋"/>
          <w:b w:val="0"/>
          <w:bCs w:val="0"/>
        </w:rPr>
        <w:t>六、</w:t>
      </w:r>
      <w:r>
        <w:rPr>
          <w:rFonts w:hint="eastAsia" w:ascii="仿宋" w:hAnsi="仿宋" w:eastAsia="仿宋"/>
          <w:b w:val="0"/>
        </w:rPr>
        <w:t>一</w:t>
      </w:r>
      <w:r>
        <w:rPr>
          <w:rStyle w:val="32"/>
          <w:rFonts w:hint="eastAsia" w:ascii="仿宋" w:hAnsi="仿宋" w:eastAsia="仿宋"/>
          <w:b w:val="0"/>
          <w:bCs w:val="0"/>
        </w:rPr>
        <w:t>般公共预算</w:t>
      </w:r>
      <w:r>
        <w:rPr>
          <w:rFonts w:hint="eastAsia" w:ascii="仿宋" w:hAnsi="仿宋" w:eastAsia="仿宋"/>
          <w:b w:val="0"/>
          <w:bCs w:val="0"/>
        </w:rPr>
        <w:t>财政拨款支出决算表</w:t>
      </w:r>
      <w:bookmarkEnd w:id="59"/>
    </w:p>
    <w:p>
      <w:pPr>
        <w:pStyle w:val="14"/>
        <w:rPr>
          <w:rFonts w:ascii="仿宋" w:hAnsi="仿宋" w:eastAsia="仿宋"/>
        </w:rPr>
      </w:pPr>
      <w:bookmarkStart w:id="60" w:name="_Toc15396625"/>
      <w:r>
        <w:rPr>
          <w:rStyle w:val="32"/>
          <w:rFonts w:hint="eastAsia" w:ascii="仿宋" w:hAnsi="仿宋" w:eastAsia="仿宋"/>
          <w:b w:val="0"/>
          <w:bCs w:val="0"/>
        </w:rPr>
        <w:t>七、</w:t>
      </w:r>
      <w:r>
        <w:rPr>
          <w:rFonts w:hint="eastAsia" w:ascii="仿宋" w:hAnsi="仿宋" w:eastAsia="仿宋"/>
          <w:b w:val="0"/>
        </w:rPr>
        <w:t>一</w:t>
      </w:r>
      <w:r>
        <w:rPr>
          <w:rStyle w:val="32"/>
          <w:rFonts w:hint="eastAsia" w:ascii="仿宋" w:hAnsi="仿宋" w:eastAsia="仿宋"/>
          <w:b w:val="0"/>
          <w:bCs w:val="0"/>
        </w:rPr>
        <w:t>般公共预算</w:t>
      </w:r>
      <w:r>
        <w:rPr>
          <w:rFonts w:hint="eastAsia" w:ascii="仿宋" w:hAnsi="仿宋" w:eastAsia="仿宋"/>
          <w:b w:val="0"/>
          <w:bCs w:val="0"/>
        </w:rPr>
        <w:t>财政拨款支出决算明细表</w:t>
      </w:r>
      <w:bookmarkEnd w:id="60"/>
    </w:p>
    <w:p>
      <w:pPr>
        <w:pStyle w:val="14"/>
        <w:rPr>
          <w:rFonts w:ascii="仿宋" w:hAnsi="仿宋" w:eastAsia="仿宋"/>
        </w:rPr>
      </w:pPr>
      <w:bookmarkStart w:id="61" w:name="_Toc15396626"/>
      <w:r>
        <w:rPr>
          <w:rStyle w:val="32"/>
          <w:rFonts w:hint="eastAsia" w:ascii="仿宋" w:hAnsi="仿宋" w:eastAsia="仿宋"/>
          <w:b w:val="0"/>
          <w:bCs w:val="0"/>
        </w:rPr>
        <w:t>八、</w:t>
      </w:r>
      <w:r>
        <w:rPr>
          <w:rFonts w:hint="eastAsia" w:ascii="仿宋" w:hAnsi="仿宋" w:eastAsia="仿宋"/>
          <w:b w:val="0"/>
        </w:rPr>
        <w:t>一</w:t>
      </w:r>
      <w:r>
        <w:rPr>
          <w:rStyle w:val="32"/>
          <w:rFonts w:hint="eastAsia" w:ascii="仿宋" w:hAnsi="仿宋" w:eastAsia="仿宋"/>
          <w:b w:val="0"/>
          <w:bCs w:val="0"/>
        </w:rPr>
        <w:t>般公共预算</w:t>
      </w:r>
      <w:r>
        <w:rPr>
          <w:rFonts w:hint="eastAsia" w:ascii="仿宋" w:hAnsi="仿宋" w:eastAsia="仿宋"/>
          <w:b w:val="0"/>
          <w:bCs w:val="0"/>
        </w:rPr>
        <w:t>财政拨款基本支出决算表</w:t>
      </w:r>
      <w:bookmarkEnd w:id="61"/>
    </w:p>
    <w:p>
      <w:pPr>
        <w:pStyle w:val="14"/>
        <w:rPr>
          <w:rFonts w:ascii="仿宋" w:hAnsi="仿宋" w:eastAsia="仿宋"/>
        </w:rPr>
      </w:pPr>
      <w:bookmarkStart w:id="62" w:name="_Toc15396627"/>
      <w:r>
        <w:rPr>
          <w:rStyle w:val="32"/>
          <w:rFonts w:hint="eastAsia" w:ascii="仿宋" w:hAnsi="仿宋" w:eastAsia="仿宋"/>
          <w:b w:val="0"/>
          <w:bCs w:val="0"/>
        </w:rPr>
        <w:t>九、</w:t>
      </w:r>
      <w:r>
        <w:rPr>
          <w:rFonts w:hint="eastAsia" w:ascii="仿宋" w:hAnsi="仿宋" w:eastAsia="仿宋"/>
          <w:b w:val="0"/>
        </w:rPr>
        <w:t>一</w:t>
      </w:r>
      <w:r>
        <w:rPr>
          <w:rStyle w:val="32"/>
          <w:rFonts w:hint="eastAsia" w:ascii="仿宋" w:hAnsi="仿宋" w:eastAsia="仿宋"/>
          <w:b w:val="0"/>
          <w:bCs w:val="0"/>
        </w:rPr>
        <w:t>般公共预算</w:t>
      </w:r>
      <w:r>
        <w:rPr>
          <w:rFonts w:hint="eastAsia" w:ascii="仿宋" w:hAnsi="仿宋" w:eastAsia="仿宋"/>
          <w:b w:val="0"/>
          <w:bCs w:val="0"/>
        </w:rPr>
        <w:t>财政拨款项目支出决算表</w:t>
      </w:r>
      <w:bookmarkEnd w:id="62"/>
    </w:p>
    <w:p>
      <w:pPr>
        <w:pStyle w:val="14"/>
        <w:rPr>
          <w:rFonts w:ascii="仿宋" w:hAnsi="仿宋" w:eastAsia="仿宋"/>
        </w:rPr>
      </w:pPr>
      <w:bookmarkStart w:id="63" w:name="_Toc15396628"/>
      <w:r>
        <w:rPr>
          <w:rStyle w:val="32"/>
          <w:rFonts w:hint="eastAsia" w:ascii="仿宋" w:hAnsi="仿宋" w:eastAsia="仿宋"/>
          <w:b w:val="0"/>
          <w:bCs w:val="0"/>
        </w:rPr>
        <w:t>十、</w:t>
      </w:r>
      <w:r>
        <w:rPr>
          <w:rFonts w:hint="eastAsia" w:ascii="仿宋" w:hAnsi="仿宋" w:eastAsia="仿宋"/>
          <w:b w:val="0"/>
        </w:rPr>
        <w:t>一</w:t>
      </w:r>
      <w:r>
        <w:rPr>
          <w:rStyle w:val="32"/>
          <w:rFonts w:hint="eastAsia" w:ascii="仿宋" w:hAnsi="仿宋" w:eastAsia="仿宋"/>
          <w:b w:val="0"/>
          <w:bCs w:val="0"/>
        </w:rPr>
        <w:t>般公共预算</w:t>
      </w:r>
      <w:r>
        <w:rPr>
          <w:rFonts w:hint="eastAsia" w:ascii="仿宋" w:hAnsi="仿宋" w:eastAsia="仿宋"/>
          <w:b w:val="0"/>
          <w:bCs w:val="0"/>
        </w:rPr>
        <w:t>财政拨款“三公”经费支出决算表</w:t>
      </w:r>
      <w:bookmarkEnd w:id="63"/>
    </w:p>
    <w:p>
      <w:pPr>
        <w:pStyle w:val="14"/>
        <w:rPr>
          <w:rFonts w:ascii="仿宋" w:hAnsi="仿宋" w:eastAsia="仿宋"/>
        </w:rPr>
      </w:pPr>
      <w:bookmarkStart w:id="64" w:name="_Toc15396629"/>
      <w:r>
        <w:rPr>
          <w:rStyle w:val="32"/>
          <w:rFonts w:hint="eastAsia" w:ascii="仿宋" w:hAnsi="仿宋" w:eastAsia="仿宋"/>
          <w:b w:val="0"/>
          <w:bCs w:val="0"/>
        </w:rPr>
        <w:t>十一、</w:t>
      </w:r>
      <w:r>
        <w:rPr>
          <w:rFonts w:hint="eastAsia" w:ascii="仿宋" w:hAnsi="仿宋" w:eastAsia="仿宋"/>
          <w:b w:val="0"/>
        </w:rPr>
        <w:t>政</w:t>
      </w:r>
      <w:r>
        <w:rPr>
          <w:rStyle w:val="32"/>
          <w:rFonts w:hint="eastAsia" w:ascii="仿宋" w:hAnsi="仿宋" w:eastAsia="仿宋"/>
          <w:b w:val="0"/>
          <w:bCs w:val="0"/>
        </w:rPr>
        <w:t>府性基金预算</w:t>
      </w:r>
      <w:r>
        <w:rPr>
          <w:rFonts w:hint="eastAsia" w:ascii="仿宋" w:hAnsi="仿宋" w:eastAsia="仿宋"/>
          <w:b w:val="0"/>
          <w:bCs w:val="0"/>
        </w:rPr>
        <w:t>财政拨款收入支出决算表</w:t>
      </w:r>
      <w:bookmarkEnd w:id="64"/>
    </w:p>
    <w:p>
      <w:pPr>
        <w:pStyle w:val="14"/>
        <w:rPr>
          <w:rFonts w:ascii="仿宋" w:hAnsi="仿宋" w:eastAsia="仿宋"/>
        </w:rPr>
      </w:pPr>
      <w:bookmarkStart w:id="65" w:name="_Toc15396630"/>
      <w:r>
        <w:rPr>
          <w:rStyle w:val="32"/>
          <w:rFonts w:hint="eastAsia" w:ascii="仿宋" w:hAnsi="仿宋" w:eastAsia="仿宋"/>
          <w:b w:val="0"/>
          <w:bCs w:val="0"/>
        </w:rPr>
        <w:t>十二、</w:t>
      </w:r>
      <w:r>
        <w:rPr>
          <w:rFonts w:hint="eastAsia" w:ascii="仿宋" w:hAnsi="仿宋" w:eastAsia="仿宋"/>
          <w:b w:val="0"/>
        </w:rPr>
        <w:t>政</w:t>
      </w:r>
      <w:r>
        <w:rPr>
          <w:rStyle w:val="32"/>
          <w:rFonts w:hint="eastAsia" w:ascii="仿宋" w:hAnsi="仿宋" w:eastAsia="仿宋"/>
          <w:b w:val="0"/>
          <w:bCs w:val="0"/>
        </w:rPr>
        <w:t>府性基金预算</w:t>
      </w:r>
      <w:r>
        <w:rPr>
          <w:rFonts w:hint="eastAsia" w:ascii="仿宋" w:hAnsi="仿宋" w:eastAsia="仿宋"/>
          <w:b w:val="0"/>
          <w:bCs w:val="0"/>
        </w:rPr>
        <w:t>财政拨款“三公”经费支出决算表</w:t>
      </w:r>
      <w:bookmarkEnd w:id="65"/>
    </w:p>
    <w:p>
      <w:pPr>
        <w:pStyle w:val="14"/>
        <w:rPr>
          <w:rStyle w:val="32"/>
          <w:rFonts w:ascii="仿宋" w:hAnsi="仿宋" w:eastAsia="仿宋"/>
          <w:b w:val="0"/>
          <w:bCs w:val="0"/>
        </w:rPr>
      </w:pPr>
      <w:bookmarkStart w:id="66" w:name="_Toc15396631"/>
      <w:r>
        <w:rPr>
          <w:rStyle w:val="32"/>
          <w:rFonts w:hint="eastAsia" w:ascii="仿宋" w:hAnsi="仿宋" w:eastAsia="仿宋"/>
          <w:b w:val="0"/>
          <w:bCs w:val="0"/>
        </w:rPr>
        <w:t>十三、</w:t>
      </w:r>
      <w:r>
        <w:rPr>
          <w:rFonts w:hint="eastAsia" w:ascii="仿宋" w:hAnsi="仿宋" w:eastAsia="仿宋"/>
          <w:b w:val="0"/>
        </w:rPr>
        <w:t>国</w:t>
      </w:r>
      <w:r>
        <w:rPr>
          <w:rStyle w:val="32"/>
          <w:rFonts w:hint="eastAsia" w:ascii="仿宋" w:hAnsi="仿宋" w:eastAsia="仿宋"/>
          <w:b w:val="0"/>
          <w:bCs w:val="0"/>
        </w:rPr>
        <w:t>有</w:t>
      </w:r>
      <w:r>
        <w:rPr>
          <w:rFonts w:hint="eastAsia" w:ascii="仿宋" w:hAnsi="仿宋" w:eastAsia="仿宋"/>
          <w:b w:val="0"/>
          <w:bCs w:val="0"/>
        </w:rPr>
        <w:t>资本经营</w:t>
      </w:r>
      <w:r>
        <w:rPr>
          <w:rStyle w:val="32"/>
          <w:rFonts w:hint="eastAsia" w:ascii="仿宋" w:hAnsi="仿宋" w:eastAsia="仿宋"/>
          <w:b w:val="0"/>
          <w:bCs w:val="0"/>
        </w:rPr>
        <w:t>预算财政拨款收入支出决算表</w:t>
      </w:r>
      <w:bookmarkEnd w:id="66"/>
    </w:p>
    <w:p>
      <w:pPr>
        <w:rPr>
          <w:rFonts w:eastAsia="仿宋"/>
          <w:sz w:val="32"/>
          <w:szCs w:val="32"/>
        </w:rPr>
      </w:pPr>
      <w:r>
        <w:rPr>
          <w:rStyle w:val="32"/>
          <w:rFonts w:hint="eastAsia" w:ascii="仿宋" w:hAnsi="仿宋" w:eastAsia="仿宋"/>
          <w:b w:val="0"/>
          <w:bCs w:val="0"/>
        </w:rPr>
        <w:t>十四、国有</w:t>
      </w:r>
      <w:r>
        <w:rPr>
          <w:rFonts w:hint="eastAsia" w:ascii="仿宋" w:hAnsi="仿宋" w:eastAsia="仿宋"/>
          <w:sz w:val="32"/>
          <w:szCs w:val="32"/>
        </w:rPr>
        <w:t>资本经营</w:t>
      </w:r>
      <w:r>
        <w:rPr>
          <w:rStyle w:val="32"/>
          <w:rFonts w:hint="eastAsia" w:ascii="仿宋" w:hAnsi="仿宋" w:eastAsia="仿宋"/>
          <w:b w:val="0"/>
          <w:bCs w:val="0"/>
        </w:rPr>
        <w:t>预算</w:t>
      </w:r>
      <w:r>
        <w:rPr>
          <w:rFonts w:hint="eastAsia" w:ascii="仿宋" w:hAnsi="仿宋" w:eastAsia="仿宋"/>
          <w:sz w:val="32"/>
          <w:szCs w:val="32"/>
        </w:rPr>
        <w:t>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9"/>
          <w:jc w:val="center"/>
        </w:pPr>
        <w:r>
          <w:fldChar w:fldCharType="begin"/>
        </w:r>
        <w:r>
          <w:instrText xml:space="preserve">PAGE   \* MERGEFORMAT</w:instrText>
        </w:r>
        <w:r>
          <w:fldChar w:fldCharType="separate"/>
        </w:r>
        <w:r>
          <w:rPr>
            <w:lang w:val="zh-CN"/>
          </w:rPr>
          <w:t>14</w:t>
        </w:r>
        <w:r>
          <w:fldChar w:fldCharType="end"/>
        </w:r>
      </w:p>
    </w:sdtContent>
  </w:sdt>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C46CDB"/>
    <w:multiLevelType w:val="singleLevel"/>
    <w:tmpl w:val="1EC46CDB"/>
    <w:lvl w:ilvl="0" w:tentative="0">
      <w:start w:val="1"/>
      <w:numFmt w:val="decimal"/>
      <w:lvlText w:val="%1."/>
      <w:lvlJc w:val="left"/>
      <w:pPr>
        <w:tabs>
          <w:tab w:val="left" w:pos="312"/>
        </w:tabs>
      </w:pPr>
      <w:rPr>
        <w:rFonts w:hint="default" w:ascii="仿宋" w:hAnsi="仿宋" w:eastAsia="仿宋" w:cs="仿宋"/>
        <w:b/>
        <w:bCs/>
        <w:sz w:val="32"/>
        <w:szCs w:val="32"/>
      </w:rPr>
    </w:lvl>
  </w:abstractNum>
  <w:abstractNum w:abstractNumId="1">
    <w:nsid w:val="27604776"/>
    <w:multiLevelType w:val="singleLevel"/>
    <w:tmpl w:val="27604776"/>
    <w:lvl w:ilvl="0" w:tentative="0">
      <w:start w:val="9"/>
      <w:numFmt w:val="chineseCounting"/>
      <w:suff w:val="nothing"/>
      <w:lvlText w:val="%1、"/>
      <w:lvlJc w:val="left"/>
      <w:rPr>
        <w:rFonts w:hint="eastAsia"/>
      </w:rPr>
    </w:lvl>
  </w:abstractNum>
  <w:abstractNum w:abstractNumId="2">
    <w:nsid w:val="38415ABB"/>
    <w:multiLevelType w:val="multilevel"/>
    <w:tmpl w:val="38415AB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51730013"/>
    <w:multiLevelType w:val="singleLevel"/>
    <w:tmpl w:val="51730013"/>
    <w:lvl w:ilvl="0" w:tentative="0">
      <w:start w:val="3"/>
      <w:numFmt w:val="chineseCounting"/>
      <w:suff w:val="space"/>
      <w:lvlText w:val="第%1部分"/>
      <w:lvlJc w:val="left"/>
      <w:rPr>
        <w:rFonts w:hint="eastAsia" w:ascii="黑体" w:hAnsi="黑体" w:eastAsia="黑体" w:cs="黑体"/>
        <w:sz w:val="44"/>
        <w:szCs w:val="44"/>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M4ZDZhZGYyYjgzNzFmMmU3YTczMjUxMWY3YTZmZDIifQ=="/>
  </w:docVars>
  <w:rsids>
    <w:rsidRoot w:val="00222364"/>
    <w:rsid w:val="00222364"/>
    <w:rsid w:val="00BF2801"/>
    <w:rsid w:val="00F25B5A"/>
    <w:rsid w:val="28230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ody Text"/>
    <w:basedOn w:val="1"/>
    <w:qFormat/>
    <w:uiPriority w:val="99"/>
    <w:pPr>
      <w:spacing w:beforeLines="30"/>
    </w:pPr>
    <w:rPr>
      <w:rFonts w:ascii="仿宋_GB2312" w:eastAsia="仿宋_GB2312"/>
      <w:kern w:val="0"/>
      <w:sz w:val="30"/>
    </w:rPr>
  </w:style>
  <w:style w:type="paragraph" w:styleId="4">
    <w:name w:val="Balloon Text"/>
    <w:basedOn w:val="1"/>
    <w:semiHidden/>
    <w:unhideWhenUsed/>
    <w:qFormat/>
    <w:uiPriority w:val="99"/>
    <w:rPr>
      <w:sz w:val="18"/>
      <w:szCs w:val="18"/>
    </w:rPr>
  </w:style>
  <w:style w:type="paragraph" w:styleId="5">
    <w:name w:val="footer"/>
    <w:basedOn w:val="1"/>
    <w:link w:val="43"/>
    <w:qFormat/>
    <w:uiPriority w:val="99"/>
    <w:pPr>
      <w:tabs>
        <w:tab w:val="center" w:pos="4153"/>
        <w:tab w:val="right" w:pos="8306"/>
      </w:tabs>
      <w:snapToGrid w:val="0"/>
      <w:jc w:val="left"/>
    </w:pPr>
    <w:rPr>
      <w:sz w:val="18"/>
      <w:szCs w:val="18"/>
    </w:rPr>
  </w:style>
  <w:style w:type="paragraph" w:styleId="6">
    <w:name w:val="header"/>
    <w:basedOn w:val="1"/>
    <w:link w:val="42"/>
    <w:semiHidden/>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Strong"/>
    <w:basedOn w:val="9"/>
    <w:qFormat/>
    <w:uiPriority w:val="99"/>
    <w:rPr>
      <w:b/>
    </w:rPr>
  </w:style>
  <w:style w:type="character" w:styleId="11">
    <w:name w:val="Hyperlink"/>
    <w:basedOn w:val="9"/>
    <w:unhideWhenUsed/>
    <w:qFormat/>
    <w:uiPriority w:val="99"/>
    <w:rPr>
      <w:color w:val="0000FF" w:themeColor="hyperlink"/>
      <w:u w:val="single"/>
    </w:rPr>
  </w:style>
  <w:style w:type="character" w:styleId="12">
    <w:name w:val="annotation reference"/>
    <w:basedOn w:val="9"/>
    <w:semiHidden/>
    <w:unhideWhenUsed/>
    <w:qFormat/>
    <w:uiPriority w:val="99"/>
    <w:rPr>
      <w:sz w:val="21"/>
      <w:szCs w:val="21"/>
    </w:rPr>
  </w:style>
  <w:style w:type="paragraph" w:customStyle="1" w:styleId="13">
    <w:name w:val="Heading 1"/>
    <w:basedOn w:val="1"/>
    <w:next w:val="1"/>
    <w:link w:val="31"/>
    <w:qFormat/>
    <w:uiPriority w:val="9"/>
    <w:pPr>
      <w:keepNext/>
      <w:keepLines/>
      <w:spacing w:before="340" w:after="330" w:line="578" w:lineRule="auto"/>
      <w:outlineLvl w:val="0"/>
    </w:pPr>
    <w:rPr>
      <w:b/>
      <w:bCs/>
      <w:kern w:val="44"/>
      <w:sz w:val="44"/>
      <w:szCs w:val="44"/>
    </w:rPr>
  </w:style>
  <w:style w:type="paragraph" w:customStyle="1" w:styleId="14">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customStyle="1" w:styleId="15">
    <w:name w:val="Heading 3"/>
    <w:basedOn w:val="1"/>
    <w:next w:val="1"/>
    <w:link w:val="35"/>
    <w:unhideWhenUsed/>
    <w:qFormat/>
    <w:uiPriority w:val="9"/>
    <w:pPr>
      <w:keepNext/>
      <w:keepLines/>
      <w:spacing w:before="260" w:after="260" w:line="416" w:lineRule="auto"/>
      <w:outlineLvl w:val="2"/>
    </w:pPr>
    <w:rPr>
      <w:b/>
      <w:bCs/>
      <w:sz w:val="32"/>
      <w:szCs w:val="32"/>
    </w:rPr>
  </w:style>
  <w:style w:type="paragraph" w:customStyle="1" w:styleId="16">
    <w:name w:val="样式1"/>
    <w:basedOn w:val="1"/>
    <w:qFormat/>
    <w:uiPriority w:val="0"/>
    <w:pPr>
      <w:jc w:val="left"/>
    </w:pPr>
    <w:rPr>
      <w:rFonts w:ascii="Calibri" w:hAnsi="Calibri" w:eastAsia="仿宋_GB2312"/>
      <w:sz w:val="32"/>
    </w:rPr>
  </w:style>
  <w:style w:type="paragraph" w:customStyle="1" w:styleId="17">
    <w:name w:val="样式2"/>
    <w:basedOn w:val="1"/>
    <w:qFormat/>
    <w:uiPriority w:val="0"/>
    <w:pPr>
      <w:ind w:firstLine="200" w:firstLineChars="200"/>
    </w:pPr>
    <w:rPr>
      <w:rFonts w:eastAsia="仿宋_GB2312"/>
      <w:sz w:val="32"/>
    </w:rPr>
  </w:style>
  <w:style w:type="paragraph" w:customStyle="1" w:styleId="18">
    <w:name w:val="TOC 3"/>
    <w:basedOn w:val="1"/>
    <w:next w:val="1"/>
    <w:unhideWhenUsed/>
    <w:qFormat/>
    <w:uiPriority w:val="39"/>
    <w:pPr>
      <w:tabs>
        <w:tab w:val="right" w:leader="dot" w:pos="8296"/>
      </w:tabs>
      <w:ind w:left="840" w:leftChars="400"/>
    </w:pPr>
  </w:style>
  <w:style w:type="paragraph" w:customStyle="1" w:styleId="19">
    <w:name w:val="Footer"/>
    <w:basedOn w:val="1"/>
    <w:qFormat/>
    <w:uiPriority w:val="99"/>
    <w:pPr>
      <w:tabs>
        <w:tab w:val="center" w:pos="4153"/>
        <w:tab w:val="right" w:pos="8306"/>
      </w:tabs>
      <w:snapToGrid w:val="0"/>
      <w:jc w:val="left"/>
    </w:pPr>
    <w:rPr>
      <w:rFonts w:ascii="Calibri" w:hAnsi="Calibri"/>
      <w:kern w:val="0"/>
      <w:sz w:val="18"/>
      <w:szCs w:val="18"/>
    </w:rPr>
  </w:style>
  <w:style w:type="paragraph" w:customStyle="1" w:styleId="20">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customStyle="1" w:styleId="2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22">
    <w:name w:val="TOC 2"/>
    <w:basedOn w:val="1"/>
    <w:next w:val="1"/>
    <w:unhideWhenUsed/>
    <w:qFormat/>
    <w:uiPriority w:val="39"/>
    <w:pPr>
      <w:tabs>
        <w:tab w:val="right" w:leader="dot" w:pos="8296"/>
      </w:tabs>
      <w:ind w:left="420" w:leftChars="200"/>
    </w:pPr>
  </w:style>
  <w:style w:type="character" w:customStyle="1" w:styleId="23">
    <w:name w:val="Header Char"/>
    <w:basedOn w:val="9"/>
    <w:semiHidden/>
    <w:qFormat/>
    <w:uiPriority w:val="99"/>
    <w:rPr>
      <w:rFonts w:ascii="Times New Roman" w:hAnsi="Times New Roman"/>
      <w:sz w:val="18"/>
      <w:szCs w:val="18"/>
    </w:rPr>
  </w:style>
  <w:style w:type="character" w:customStyle="1" w:styleId="24">
    <w:name w:val="页眉 Char"/>
    <w:semiHidden/>
    <w:qFormat/>
    <w:locked/>
    <w:uiPriority w:val="99"/>
    <w:rPr>
      <w:sz w:val="18"/>
    </w:rPr>
  </w:style>
  <w:style w:type="character" w:customStyle="1" w:styleId="25">
    <w:name w:val="Footer Char"/>
    <w:basedOn w:val="9"/>
    <w:semiHidden/>
    <w:qFormat/>
    <w:uiPriority w:val="99"/>
    <w:rPr>
      <w:rFonts w:ascii="Times New Roman" w:hAnsi="Times New Roman"/>
      <w:sz w:val="18"/>
      <w:szCs w:val="18"/>
    </w:rPr>
  </w:style>
  <w:style w:type="character" w:customStyle="1" w:styleId="26">
    <w:name w:val="页脚 Char"/>
    <w:qFormat/>
    <w:locked/>
    <w:uiPriority w:val="99"/>
    <w:rPr>
      <w:sz w:val="18"/>
    </w:rPr>
  </w:style>
  <w:style w:type="character" w:customStyle="1" w:styleId="27">
    <w:name w:val="Body Text Char"/>
    <w:basedOn w:val="9"/>
    <w:semiHidden/>
    <w:qFormat/>
    <w:uiPriority w:val="99"/>
    <w:rPr>
      <w:rFonts w:ascii="Times New Roman" w:hAnsi="Times New Roman"/>
      <w:szCs w:val="24"/>
    </w:rPr>
  </w:style>
  <w:style w:type="character" w:customStyle="1" w:styleId="28">
    <w:name w:val="正文文本 Char"/>
    <w:qFormat/>
    <w:locked/>
    <w:uiPriority w:val="99"/>
    <w:rPr>
      <w:rFonts w:ascii="仿宋_GB2312" w:hAnsi="Times New Roman" w:eastAsia="仿宋_GB2312"/>
      <w:sz w:val="24"/>
    </w:rPr>
  </w:style>
  <w:style w:type="paragraph" w:customStyle="1" w:styleId="2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0">
    <w:name w:val="List Paragraph"/>
    <w:basedOn w:val="1"/>
    <w:qFormat/>
    <w:uiPriority w:val="34"/>
    <w:pPr>
      <w:ind w:firstLine="420" w:firstLineChars="200"/>
    </w:pPr>
  </w:style>
  <w:style w:type="character" w:customStyle="1" w:styleId="31">
    <w:name w:val="标题 1 Char"/>
    <w:basedOn w:val="9"/>
    <w:link w:val="13"/>
    <w:qFormat/>
    <w:uiPriority w:val="9"/>
    <w:rPr>
      <w:rFonts w:ascii="Times New Roman" w:hAnsi="Times New Roman"/>
      <w:b/>
      <w:bCs/>
      <w:kern w:val="44"/>
      <w:sz w:val="44"/>
      <w:szCs w:val="44"/>
    </w:rPr>
  </w:style>
  <w:style w:type="character" w:customStyle="1" w:styleId="32">
    <w:name w:val="标题 2 Char"/>
    <w:basedOn w:val="9"/>
    <w:link w:val="14"/>
    <w:qFormat/>
    <w:uiPriority w:val="9"/>
    <w:rPr>
      <w:rFonts w:asciiTheme="majorHAnsi" w:hAnsiTheme="majorHAnsi" w:eastAsiaTheme="majorEastAsia" w:cstheme="majorBidi"/>
      <w:b/>
      <w:bCs/>
      <w:kern w:val="2"/>
      <w:sz w:val="32"/>
      <w:szCs w:val="32"/>
    </w:rPr>
  </w:style>
  <w:style w:type="paragraph" w:customStyle="1" w:styleId="33">
    <w:name w:val="TOC 标题1"/>
    <w:basedOn w:val="1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4">
    <w:name w:val="批注框文本 Char"/>
    <w:basedOn w:val="9"/>
    <w:semiHidden/>
    <w:qFormat/>
    <w:uiPriority w:val="99"/>
    <w:rPr>
      <w:rFonts w:ascii="Times New Roman" w:hAnsi="Times New Roman"/>
      <w:kern w:val="2"/>
      <w:sz w:val="18"/>
      <w:szCs w:val="18"/>
    </w:rPr>
  </w:style>
  <w:style w:type="character" w:customStyle="1" w:styleId="35">
    <w:name w:val="标题 3 Char"/>
    <w:basedOn w:val="9"/>
    <w:link w:val="15"/>
    <w:qFormat/>
    <w:uiPriority w:val="9"/>
    <w:rPr>
      <w:rFonts w:ascii="Times New Roman" w:hAnsi="Times New Roman"/>
      <w:b/>
      <w:bCs/>
      <w:kern w:val="2"/>
      <w:sz w:val="32"/>
      <w:szCs w:val="32"/>
    </w:rPr>
  </w:style>
  <w:style w:type="paragraph" w:customStyle="1" w:styleId="36">
    <w:name w:val="TOC 标题2"/>
    <w:basedOn w:val="1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7">
    <w:name w:val="批注文字 Char"/>
    <w:basedOn w:val="9"/>
    <w:semiHidden/>
    <w:uiPriority w:val="99"/>
    <w:rPr>
      <w:kern w:val="2"/>
      <w:sz w:val="21"/>
      <w:szCs w:val="24"/>
    </w:rPr>
  </w:style>
  <w:style w:type="paragraph" w:customStyle="1" w:styleId="38">
    <w:name w:val="Header0"/>
    <w:basedOn w:val="1"/>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39">
    <w:name w:val="页眉 Char1"/>
    <w:basedOn w:val="9"/>
    <w:semiHidden/>
    <w:uiPriority w:val="99"/>
    <w:rPr>
      <w:kern w:val="2"/>
      <w:sz w:val="18"/>
      <w:szCs w:val="18"/>
    </w:rPr>
  </w:style>
  <w:style w:type="paragraph" w:customStyle="1" w:styleId="40">
    <w:name w:val="Footer0"/>
    <w:basedOn w:val="1"/>
    <w:qFormat/>
    <w:uiPriority w:val="99"/>
    <w:pPr>
      <w:tabs>
        <w:tab w:val="center" w:pos="4153"/>
        <w:tab w:val="right" w:pos="8306"/>
      </w:tabs>
      <w:snapToGrid w:val="0"/>
      <w:jc w:val="left"/>
    </w:pPr>
    <w:rPr>
      <w:sz w:val="18"/>
      <w:szCs w:val="18"/>
    </w:rPr>
  </w:style>
  <w:style w:type="character" w:customStyle="1" w:styleId="41">
    <w:name w:val="页脚 Char1"/>
    <w:basedOn w:val="9"/>
    <w:uiPriority w:val="99"/>
    <w:rPr>
      <w:kern w:val="2"/>
      <w:sz w:val="18"/>
      <w:szCs w:val="18"/>
    </w:rPr>
  </w:style>
  <w:style w:type="character" w:customStyle="1" w:styleId="42">
    <w:name w:val="页眉 Char2"/>
    <w:basedOn w:val="9"/>
    <w:link w:val="6"/>
    <w:semiHidden/>
    <w:uiPriority w:val="99"/>
    <w:rPr>
      <w:kern w:val="2"/>
      <w:sz w:val="18"/>
      <w:szCs w:val="18"/>
    </w:rPr>
  </w:style>
  <w:style w:type="character" w:customStyle="1" w:styleId="43">
    <w:name w:val="页脚 Char2"/>
    <w:basedOn w:val="9"/>
    <w:link w:val="5"/>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12.xml"/><Relationship Id="rId24" Type="http://schemas.openxmlformats.org/officeDocument/2006/relationships/customXml" Target="../customXml/item11.xml"/><Relationship Id="rId23" Type="http://schemas.openxmlformats.org/officeDocument/2006/relationships/customXml" Target="../customXml/item10.xml"/><Relationship Id="rId22" Type="http://schemas.openxmlformats.org/officeDocument/2006/relationships/customXml" Target="../customXml/item9.xml"/><Relationship Id="rId21" Type="http://schemas.openxmlformats.org/officeDocument/2006/relationships/customXml" Target="../customXml/item8.xml"/><Relationship Id="rId20" Type="http://schemas.openxmlformats.org/officeDocument/2006/relationships/customXml" Target="../customXml/item7.xml"/><Relationship Id="rId2" Type="http://schemas.openxmlformats.org/officeDocument/2006/relationships/settings" Target="settings.xml"/><Relationship Id="rId19" Type="http://schemas.openxmlformats.org/officeDocument/2006/relationships/customXml" Target="../customXml/item6.xml"/><Relationship Id="rId18" Type="http://schemas.openxmlformats.org/officeDocument/2006/relationships/customXml" Target="../customXml/item5.xml"/><Relationship Id="rId17" Type="http://schemas.openxmlformats.org/officeDocument/2006/relationships/customXml" Target="../customXml/item4.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delete val="1"/>
          </c:dLbls>
          <c:cat>
            <c:strRef>
              <c:f>Sheet1!$A$2:$A$5</c:f>
              <c:strCache>
                <c:ptCount val="4"/>
                <c:pt idx="0">
                  <c:v>2020年</c:v>
                </c:pt>
                <c:pt idx="1">
                  <c:v>2021年</c:v>
                </c:pt>
              </c:strCache>
            </c:strRef>
          </c:cat>
          <c:val>
            <c:numRef>
              <c:f>Sheet1!$B$2:$B$5</c:f>
              <c:numCache>
                <c:formatCode>General</c:formatCode>
                <c:ptCount val="4"/>
                <c:pt idx="0">
                  <c:v>3611</c:v>
                </c:pt>
                <c:pt idx="1">
                  <c:v>4104.42</c:v>
                </c:pt>
              </c:numCache>
            </c:numRef>
          </c:val>
        </c:ser>
        <c:ser>
          <c:idx val="1"/>
          <c:order val="1"/>
          <c:tx>
            <c:strRef>
              <c:f>Sheet1!$C$1</c:f>
              <c:strCache>
                <c:ptCount val="1"/>
                <c:pt idx="0">
                  <c:v>支出</c:v>
                </c:pt>
              </c:strCache>
            </c:strRef>
          </c:tx>
          <c:spPr>
            <a:solidFill>
              <a:schemeClr val="accent2"/>
            </a:solidFill>
            <a:ln>
              <a:noFill/>
            </a:ln>
            <a:effectLst/>
          </c:spPr>
          <c:invertIfNegative val="0"/>
          <c:dLbls>
            <c:delete val="1"/>
          </c:dLbls>
          <c:cat>
            <c:strRef>
              <c:f>Sheet1!$A$2:$A$5</c:f>
              <c:strCache>
                <c:ptCount val="4"/>
                <c:pt idx="0">
                  <c:v>2020年</c:v>
                </c:pt>
                <c:pt idx="1">
                  <c:v>2021年</c:v>
                </c:pt>
              </c:strCache>
            </c:strRef>
          </c:cat>
          <c:val>
            <c:numRef>
              <c:f>Sheet1!$C$2:$C$5</c:f>
              <c:numCache>
                <c:formatCode>General</c:formatCode>
                <c:ptCount val="4"/>
                <c:pt idx="0">
                  <c:v>3611</c:v>
                </c:pt>
                <c:pt idx="1">
                  <c:v>4104.42</c:v>
                </c:pt>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2020年</c:v>
                </c:pt>
                <c:pt idx="1">
                  <c:v>2021年</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460119040"/>
        <c:axId val="460133120"/>
      </c:barChart>
      <c:catAx>
        <c:axId val="46011904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0133120"/>
        <c:crosses val="autoZero"/>
        <c:auto val="1"/>
        <c:lblAlgn val="ctr"/>
        <c:lblOffset val="100"/>
        <c:noMultiLvlLbl val="0"/>
      </c:catAx>
      <c:valAx>
        <c:axId val="46013312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0119040"/>
        <c:crosses val="autoZero"/>
        <c:crossBetween val="between"/>
      </c:valAx>
      <c:spPr>
        <a:noFill/>
        <a:ln>
          <a:noFill/>
        </a:ln>
        <a:effectLst/>
      </c:spPr>
    </c:plotArea>
    <c:legend>
      <c:legendPos val="b"/>
      <c:legendEntry>
        <c:idx val="2"/>
        <c:delete val="1"/>
      </c:legendEntry>
      <c:layout>
        <c:manualLayout>
          <c:xMode val="edge"/>
          <c:yMode val="edge"/>
          <c:x val="0.700867789688617"/>
          <c:y val="0.236123545210385"/>
          <c:w val="0.148885485792071"/>
          <c:h val="0.24440465532676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收入决算情况</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一般公共预算财政拨款收入</c:v>
                </c:pt>
              </c:strCache>
            </c:strRef>
          </c:cat>
          <c:val>
            <c:numRef>
              <c:f>Sheet1!$B$2:$B$5</c:f>
              <c:numCache>
                <c:formatCode>General</c:formatCode>
                <c:ptCount val="4"/>
                <c:pt idx="0">
                  <c:v>4104.42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1"/>
        <c:delete val="1"/>
      </c:legendEntry>
      <c:legendEntry>
        <c:idx val="2"/>
        <c:delete val="1"/>
      </c:legendEntry>
      <c:legendEntry>
        <c:idx val="3"/>
        <c:delete val="1"/>
      </c:legendEntry>
      <c:layout>
        <c:manualLayout>
          <c:xMode val="edge"/>
          <c:yMode val="edge"/>
          <c:x val="0.231141199226306"/>
          <c:y val="0.85142669727779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165908746399879"/>
          <c:y val="0.173257311017105"/>
          <c:w val="0.53206002728513"/>
          <c:h val="0.645576604745264"/>
        </c:manualLayout>
      </c:layout>
      <c:pieChart>
        <c:varyColors val="1"/>
        <c:ser>
          <c:idx val="0"/>
          <c:order val="0"/>
          <c:tx>
            <c:strRef>
              <c:f>Sheet1!$B$1</c:f>
              <c:strCache>
                <c:ptCount val="1"/>
                <c:pt idx="0">
                  <c:v>支出决算情况</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基本支出</c:v>
                </c:pt>
                <c:pt idx="1">
                  <c:v>项目支出</c:v>
                </c:pt>
              </c:strCache>
            </c:strRef>
          </c:cat>
          <c:val>
            <c:numRef>
              <c:f>Sheet1!$B$2:$B$5</c:f>
              <c:numCache>
                <c:formatCode>General</c:formatCode>
                <c:ptCount val="4"/>
                <c:pt idx="0">
                  <c:v>2022.41</c:v>
                </c:pt>
                <c:pt idx="1">
                  <c:v>2082.01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ayout>
        <c:manualLayout>
          <c:xMode val="edge"/>
          <c:yMode val="edge"/>
          <c:x val="0.760575017865264"/>
          <c:y val="0.275123606143488"/>
          <c:w val="0.164915966386555"/>
          <c:h val="0.19533333333333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财政拨款收入支出总计情况</a:t>
            </a:r>
          </a:p>
        </c:rich>
      </c:tx>
      <c:layout/>
      <c:overlay val="0"/>
      <c:spPr>
        <a:noFill/>
        <a:ln>
          <a:noFill/>
        </a:ln>
        <a:effectLst/>
      </c:spPr>
    </c:title>
    <c:autoTitleDeleted val="0"/>
    <c:plotArea>
      <c:layout>
        <c:manualLayout>
          <c:layoutTarget val="inner"/>
          <c:xMode val="edge"/>
          <c:yMode val="edge"/>
          <c:x val="0.207962591850367"/>
          <c:y val="0.135200137433431"/>
          <c:w val="0.591102204408818"/>
          <c:h val="0.716955849510394"/>
        </c:manualLayout>
      </c:layout>
      <c:barChart>
        <c:barDir val="col"/>
        <c:grouping val="clustered"/>
        <c:varyColors val="0"/>
        <c:ser>
          <c:idx val="0"/>
          <c:order val="0"/>
          <c:tx>
            <c:strRef>
              <c:f>Sheet1!$B$1</c:f>
              <c:strCache>
                <c:ptCount val="1"/>
                <c:pt idx="0">
                  <c:v>财政拨款收入</c:v>
                </c:pt>
              </c:strCache>
            </c:strRef>
          </c:tx>
          <c:spPr>
            <a:solidFill>
              <a:schemeClr val="accent1"/>
            </a:solidFill>
            <a:ln>
              <a:noFill/>
            </a:ln>
            <a:effectLst/>
          </c:spPr>
          <c:invertIfNegative val="0"/>
          <c:dLbls>
            <c:delete val="1"/>
          </c:dLbls>
          <c:cat>
            <c:strRef>
              <c:f>Sheet1!$A$2:$A$5</c:f>
              <c:strCache>
                <c:ptCount val="4"/>
                <c:pt idx="0">
                  <c:v>2020年</c:v>
                </c:pt>
                <c:pt idx="1">
                  <c:v>2021年</c:v>
                </c:pt>
              </c:strCache>
            </c:strRef>
          </c:cat>
          <c:val>
            <c:numRef>
              <c:f>Sheet1!$B$2:$B$5</c:f>
              <c:numCache>
                <c:formatCode>General</c:formatCode>
                <c:ptCount val="4"/>
                <c:pt idx="0">
                  <c:v>3611</c:v>
                </c:pt>
                <c:pt idx="1">
                  <c:v>4104.42</c:v>
                </c:pt>
              </c:numCache>
            </c:numRef>
          </c:val>
        </c:ser>
        <c:ser>
          <c:idx val="1"/>
          <c:order val="1"/>
          <c:tx>
            <c:strRef>
              <c:f>Sheet1!$C$1</c:f>
              <c:strCache>
                <c:ptCount val="1"/>
                <c:pt idx="0">
                  <c:v>财政拨款支出</c:v>
                </c:pt>
              </c:strCache>
            </c:strRef>
          </c:tx>
          <c:spPr>
            <a:solidFill>
              <a:schemeClr val="accent2"/>
            </a:solidFill>
            <a:ln>
              <a:noFill/>
            </a:ln>
            <a:effectLst/>
          </c:spPr>
          <c:invertIfNegative val="0"/>
          <c:dLbls>
            <c:delete val="1"/>
          </c:dLbls>
          <c:cat>
            <c:strRef>
              <c:f>Sheet1!$A$2:$A$5</c:f>
              <c:strCache>
                <c:ptCount val="4"/>
                <c:pt idx="0">
                  <c:v>2020年</c:v>
                </c:pt>
                <c:pt idx="1">
                  <c:v>2021年</c:v>
                </c:pt>
              </c:strCache>
            </c:strRef>
          </c:cat>
          <c:val>
            <c:numRef>
              <c:f>Sheet1!$C$2:$C$5</c:f>
              <c:numCache>
                <c:formatCode>General</c:formatCode>
                <c:ptCount val="4"/>
                <c:pt idx="0">
                  <c:v>3611</c:v>
                </c:pt>
                <c:pt idx="1">
                  <c:v>4104.42</c:v>
                </c:pt>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2020年</c:v>
                </c:pt>
                <c:pt idx="1">
                  <c:v>2021年</c:v>
                </c:pt>
              </c:strCache>
            </c:strRef>
          </c:cat>
          <c:val>
            <c:numRef>
              <c:f>Sheet1!$D$2:$D$5</c:f>
              <c:numCache>
                <c:formatCode>General</c:formatCode>
                <c:ptCount val="4"/>
              </c:numCache>
            </c:numRef>
          </c:val>
        </c:ser>
        <c:dLbls>
          <c:showLegendKey val="0"/>
          <c:showVal val="0"/>
          <c:showCatName val="0"/>
          <c:showSerName val="0"/>
          <c:showPercent val="0"/>
          <c:showBubbleSize val="0"/>
        </c:dLbls>
        <c:gapWidth val="96"/>
        <c:overlap val="5"/>
        <c:axId val="459655808"/>
        <c:axId val="459661696"/>
      </c:barChart>
      <c:catAx>
        <c:axId val="45965580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9661696"/>
        <c:crosses val="autoZero"/>
        <c:auto val="1"/>
        <c:lblAlgn val="ctr"/>
        <c:lblOffset val="100"/>
        <c:tickLblSkip val="1"/>
        <c:noMultiLvlLbl val="0"/>
      </c:catAx>
      <c:valAx>
        <c:axId val="45966169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9655808"/>
        <c:crosses val="autoZero"/>
        <c:crossBetween val="between"/>
      </c:valAx>
      <c:spPr>
        <a:noFill/>
        <a:ln>
          <a:noFill/>
        </a:ln>
        <a:effectLst/>
      </c:spPr>
    </c:plotArea>
    <c:legend>
      <c:legendPos val="b"/>
      <c:legendEntry>
        <c:idx val="2"/>
        <c:delete val="1"/>
      </c:legendEntry>
      <c:layout>
        <c:manualLayout>
          <c:xMode val="edge"/>
          <c:yMode val="edge"/>
          <c:x val="0.641571735182434"/>
          <c:y val="0.258994578610153"/>
          <c:w val="0.24962852897474"/>
          <c:h val="0.2365697387875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一般公共预算财政拨款支出情况</a:t>
            </a:r>
          </a:p>
        </c:rich>
      </c:tx>
      <c:layout/>
      <c:overlay val="0"/>
      <c:spPr>
        <a:noFill/>
        <a:ln>
          <a:noFill/>
        </a:ln>
        <a:effectLst/>
      </c:spPr>
    </c:title>
    <c:autoTitleDeleted val="0"/>
    <c:plotArea>
      <c:layout>
        <c:manualLayout>
          <c:layoutTarget val="inner"/>
          <c:xMode val="edge"/>
          <c:yMode val="edge"/>
          <c:x val="0.207962591850367"/>
          <c:y val="0.135200137433431"/>
          <c:w val="0.591102204408818"/>
          <c:h val="0.716955849510394"/>
        </c:manualLayout>
      </c:layout>
      <c:barChart>
        <c:barDir val="col"/>
        <c:grouping val="clustered"/>
        <c:varyColors val="0"/>
        <c:ser>
          <c:idx val="0"/>
          <c:order val="0"/>
          <c:tx>
            <c:strRef>
              <c:f>Sheet1!#REF!</c:f>
              <c:strCache>
                <c:ptCount val="1"/>
                <c:pt idx="0">
                  <c:v/>
                </c:pt>
              </c:strCache>
            </c:strRef>
          </c:tx>
          <c:spPr>
            <a:solidFill>
              <a:schemeClr val="accent1"/>
            </a:solidFill>
            <a:ln>
              <a:noFill/>
            </a:ln>
            <a:effectLst/>
          </c:spPr>
          <c:invertIfNegative val="0"/>
          <c:dLbls>
            <c:delete val="1"/>
          </c:dLbls>
          <c:cat>
            <c:strRef>
              <c:f>Sheet1!$A$2:$A$5</c:f>
              <c:strCache>
                <c:ptCount val="4"/>
                <c:pt idx="0">
                  <c:v>2020年</c:v>
                </c:pt>
                <c:pt idx="1">
                  <c:v>2021年</c:v>
                </c:pt>
              </c:strCache>
            </c:strRef>
          </c:cat>
          <c:val>
            <c:numRef>
              <c:f>Sheet1!#REF!</c:f>
              <c:numCache>
                <c:formatCode>General</c:formatCode>
                <c:ptCount val="1"/>
                <c:pt idx="0">
                  <c:v>1</c:v>
                </c:pt>
              </c:numCache>
            </c:numRef>
          </c:val>
        </c:ser>
        <c:ser>
          <c:idx val="1"/>
          <c:order val="1"/>
          <c:tx>
            <c:strRef>
              <c:f>Sheet1!$B$1</c:f>
              <c:strCache>
                <c:ptCount val="1"/>
                <c:pt idx="0">
                  <c:v>一般公共预算财政拨款支出</c:v>
                </c:pt>
              </c:strCache>
            </c:strRef>
          </c:tx>
          <c:spPr>
            <a:solidFill>
              <a:schemeClr val="accent2"/>
            </a:solidFill>
            <a:ln>
              <a:noFill/>
            </a:ln>
            <a:effectLst/>
          </c:spPr>
          <c:invertIfNegative val="0"/>
          <c:dLbls>
            <c:delete val="1"/>
          </c:dLbls>
          <c:cat>
            <c:strRef>
              <c:f>Sheet1!$A$2:$A$5</c:f>
              <c:strCache>
                <c:ptCount val="4"/>
                <c:pt idx="0">
                  <c:v>2020年</c:v>
                </c:pt>
                <c:pt idx="1">
                  <c:v>2021年</c:v>
                </c:pt>
              </c:strCache>
            </c:strRef>
          </c:cat>
          <c:val>
            <c:numRef>
              <c:f>Sheet1!$B$2:$B$5</c:f>
              <c:numCache>
                <c:formatCode>General</c:formatCode>
                <c:ptCount val="4"/>
                <c:pt idx="0">
                  <c:v>3611</c:v>
                </c:pt>
                <c:pt idx="1">
                  <c:v>4104.42</c:v>
                </c:pt>
              </c:numCache>
            </c:numRef>
          </c:val>
        </c:ser>
        <c:ser>
          <c:idx val="2"/>
          <c:order val="2"/>
          <c:tx>
            <c:strRef>
              <c:f>Sheet1!$C$1</c:f>
              <c:strCache>
                <c:ptCount val="1"/>
                <c:pt idx="0">
                  <c:v/>
                </c:pt>
              </c:strCache>
            </c:strRef>
          </c:tx>
          <c:spPr>
            <a:solidFill>
              <a:schemeClr val="accent3"/>
            </a:solidFill>
            <a:ln>
              <a:noFill/>
            </a:ln>
            <a:effectLst/>
          </c:spPr>
          <c:invertIfNegative val="0"/>
          <c:dLbls>
            <c:delete val="1"/>
          </c:dLbls>
          <c:cat>
            <c:strRef>
              <c:f>Sheet1!$A$2:$A$5</c:f>
              <c:strCache>
                <c:ptCount val="4"/>
                <c:pt idx="0">
                  <c:v>2020年</c:v>
                </c:pt>
                <c:pt idx="1">
                  <c:v>2021年</c:v>
                </c:pt>
              </c:strCache>
            </c:strRef>
          </c:cat>
          <c:val>
            <c:numRef>
              <c:f>Sheet1!$C$2:$C$5</c:f>
              <c:numCache>
                <c:formatCode>General</c:formatCode>
                <c:ptCount val="4"/>
              </c:numCache>
            </c:numRef>
          </c:val>
        </c:ser>
        <c:dLbls>
          <c:showLegendKey val="0"/>
          <c:showVal val="0"/>
          <c:showCatName val="0"/>
          <c:showSerName val="0"/>
          <c:showPercent val="0"/>
          <c:showBubbleSize val="0"/>
        </c:dLbls>
        <c:gapWidth val="96"/>
        <c:overlap val="91"/>
        <c:axId val="464635776"/>
        <c:axId val="464637312"/>
      </c:barChart>
      <c:catAx>
        <c:axId val="46463577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crossAx val="464637312"/>
        <c:crosses val="autoZero"/>
        <c:auto val="1"/>
        <c:lblAlgn val="ctr"/>
        <c:lblOffset val="100"/>
        <c:noMultiLvlLbl val="0"/>
      </c:catAx>
      <c:valAx>
        <c:axId val="46463731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4635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0"/>
              <c:layout>
                <c:manualLayout>
                  <c:x val="-0.0868334119867862"/>
                  <c:y val="0.065173116089613"/>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0.0247724129512671"/>
                  <c:y val="-0.0071239871373896"/>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0.0117860972098086"/>
                  <c:y val="0.0305477008899766"/>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3"/>
              <c:layout>
                <c:manualLayout>
                  <c:x val="-0.0425950774765145"/>
                  <c:y val="0.0519060171721997"/>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4"/>
              <c:layout>
                <c:manualLayout>
                  <c:x val="0.0113260972156678"/>
                  <c:y val="-0.119484046164291"/>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5"/>
              <c:layout>
                <c:manualLayout>
                  <c:x val="0.0924964605946202"/>
                  <c:y val="0.0896130346232179"/>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Sheet1!$A$2:$A$7</c:f>
              <c:strCache>
                <c:ptCount val="6"/>
                <c:pt idx="0">
                  <c:v>一般公共服务（类）支出</c:v>
                </c:pt>
                <c:pt idx="1">
                  <c:v>文化旅游体育与传媒（类）支出</c:v>
                </c:pt>
                <c:pt idx="2">
                  <c:v>社会保障和就业（类）支出</c:v>
                </c:pt>
                <c:pt idx="3">
                  <c:v>卫生健康（类）支出</c:v>
                </c:pt>
                <c:pt idx="4">
                  <c:v>农林水（类）支出</c:v>
                </c:pt>
                <c:pt idx="5">
                  <c:v>住房保障（类）支出</c:v>
                </c:pt>
              </c:strCache>
            </c:strRef>
          </c:cat>
          <c:val>
            <c:numRef>
              <c:f>Sheet1!$B$2:$B$7</c:f>
              <c:numCache>
                <c:formatCode>General</c:formatCode>
                <c:ptCount val="6"/>
                <c:pt idx="0">
                  <c:v>1394.38</c:v>
                </c:pt>
                <c:pt idx="1">
                  <c:v>8</c:v>
                </c:pt>
                <c:pt idx="2">
                  <c:v>222.97</c:v>
                </c:pt>
                <c:pt idx="3">
                  <c:v>73.65</c:v>
                </c:pt>
                <c:pt idx="4">
                  <c:v>1111.29</c:v>
                </c:pt>
                <c:pt idx="5">
                  <c:v>1294.14</c:v>
                </c:pt>
              </c:numCache>
            </c:numRef>
          </c:val>
        </c:ser>
        <c:dLbls>
          <c:showLegendKey val="0"/>
          <c:showVal val="1"/>
          <c:showCatName val="0"/>
          <c:showSerName val="0"/>
          <c:showPercent val="1"/>
          <c:showBubbleSize val="0"/>
          <c:showLeaderLines val="1"/>
        </c:dLbls>
        <c:firstSliceAng val="0"/>
      </c:pieChart>
      <c:spPr>
        <a:noFill/>
        <a:ln>
          <a:noFill/>
        </a:ln>
        <a:effectLst/>
      </c:spPr>
    </c:plotArea>
    <c:legend>
      <c:legendPos val="b"/>
      <c:layout>
        <c:manualLayout>
          <c:xMode val="edge"/>
          <c:yMode val="edge"/>
          <c:x val="0.0537989617744219"/>
          <c:y val="0.790364025695931"/>
          <c:w val="0.932515337423313"/>
          <c:h val="0.13361884368308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243126562144967"/>
          <c:y val="0.253915361546151"/>
          <c:w val="0.418086798454897"/>
          <c:h val="0.613128957014329"/>
        </c:manualLayout>
      </c:layout>
      <c:pieChart>
        <c:varyColors val="1"/>
        <c:ser>
          <c:idx val="0"/>
          <c:order val="0"/>
          <c:tx>
            <c:strRef>
              <c:f>Sheet1!$B$1</c:f>
              <c:strCache>
                <c:ptCount val="1"/>
                <c:pt idx="0">
                  <c:v>“三公”经费财政拨款支出</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0346044468357331"/>
                  <c:y val="-0.26063524108763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公务接待费</c:v>
                </c:pt>
              </c:strCache>
            </c:strRef>
          </c:cat>
          <c:val>
            <c:numRef>
              <c:f>Sheet1!$B$2:$B$5</c:f>
              <c:numCache>
                <c:formatCode>General</c:formatCode>
                <c:ptCount val="4"/>
                <c:pt idx="0">
                  <c:v>5.5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1"/>
        <c:delete val="1"/>
      </c:legendEntry>
      <c:legendEntry>
        <c:idx val="2"/>
        <c:delete val="1"/>
      </c:legendEntry>
      <c:legendEntry>
        <c:idx val="3"/>
        <c:delete val="1"/>
      </c:legendEntry>
      <c:layout>
        <c:manualLayout>
          <c:xMode val="edge"/>
          <c:yMode val="edge"/>
          <c:x val="0.648355572597138"/>
          <c:y val="0.28847600799733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http://schemas.openxmlformats.org/officeDocument/2006/extended-properties" xmlns:vt="http://schemas.openxmlformats.org/officeDocument/2006/docPropsVTypes">
  <Template>Normal</Template>
  <TotalTime>25</TotalTime>
  <Pages>24</Pages>
  <Words>1425</Words>
  <Characters>8127</Characters>
  <Application>Microsoft Office Word</Application>
  <DocSecurity>0</DocSecurity>
  <Lines>67</Lines>
  <Paragraphs>19</Paragraphs>
  <ScaleCrop>false</ScaleCrop>
  <Company>四川省财政厅</Company>
  <LinksUpToDate>false</LinksUpToDate>
  <CharactersWithSpaces>9533</CharactersWithSpaces>
  <SharedDoc>false</SharedDoc>
  <HyperlinksChanged>false</HyperlinksChanged>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35</cp:revision>
  <cp:lastPrinted>2022-08-06T02:23:00Z</cp:lastPrinted>
  <dcterms:created xsi:type="dcterms:W3CDTF">2020-08-05T01:49:00Z</dcterms:created>
  <dcterms:modified xsi:type="dcterms:W3CDTF">2023-03-01T06:11:00Z</dcterms:modified>
</cp:coreProperties>
</file>

<file path=customXml/item11.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9BAA23D3776B486E852803FD86F53D71</vt:lpwstr>
  </property>
</Properties>
</file>

<file path=customXml/item12.xml><?xml version="1.0" encoding="utf-8"?>
<Properties xmlns:vt="http://schemas.openxmlformats.org/officeDocument/2006/docPropsVTypes" xmlns="http://schemas.openxmlformats.org/officeDocument/2006/extended-properties">
  <Template>Normal.dotm</Template>
  <TotalTime>18</TotalTime>
  <Pages>24</Pages>
  <Words>8369</Words>
  <Characters>9074</Characters>
  <Application>WPS Office_11.1.0.12313_F1E327BC-269C-435d-A152-05C5408002CA</Application>
  <DocSecurity>0</DocSecurity>
  <Lines>61</Lines>
  <Paragraphs>17</Paragraphs>
  <Company>四川省财政厅</Company>
  <CharactersWithSpaces>9208</CharactersWithSpaces>
  <AppVersion>14.0000</AppVersion>
</Properties>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9BAA23D3776B486E852803FD86F53D71</vt:lpwstr>
  </property>
</Properties>
</file>

<file path=customXml/item3.xml><?xml version="1.0" encoding="utf-8"?>
<Properties xmlns="http://schemas.openxmlformats.org/officeDocument/2006/extended-properties" xmlns:vt="http://schemas.openxmlformats.org/officeDocument/2006/docPropsVTypes">
  <Template>Normal.dotm</Template>
  <Company>四川省财政厅</Company>
  <Pages>24</Pages>
  <Words>8369</Words>
  <Characters>9074</Characters>
  <Lines>61</Lines>
  <Paragraphs>17</Paragraphs>
  <TotalTime>18</TotalTime>
  <ScaleCrop>false</ScaleCrop>
  <LinksUpToDate>false</LinksUpToDate>
  <CharactersWithSpaces>9208</CharactersWithSpaces>
  <Application>WPS Office_11.1.0.12313_F1E327BC-269C-435d-A152-05C5408002CA</Application>
  <DocSecurity>0</DocSecuri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35</cp:revision>
  <cp:lastPrinted>2022-08-06T02:23:00Z</cp:lastPrinted>
  <dcterms:created xsi:type="dcterms:W3CDTF">2020-08-05T01:49:00Z</dcterms:created>
  <dcterms:modified xsi:type="dcterms:W3CDTF">2023-03-01T06:11:00Z</dcterms:modified>
</cp:coreProperties>
</file>

<file path=customXml/item5.xml><?xml version="1.0" encoding="utf-8"?>
<Properties xmlns:vt="http://schemas.openxmlformats.org/officeDocument/2006/docPropsVTypes" xmlns="http://schemas.openxmlformats.org/officeDocument/2006/extended-properties">
  <Template>Normal</Template>
  <TotalTime>25</TotalTime>
  <Pages>24</Pages>
  <Words>1425</Words>
  <Characters>8127</Characters>
  <Application>Microsoft Office Word</Application>
  <DocSecurity>0</DocSecurity>
  <Lines>67</Lines>
  <Paragraphs>19</Paragraphs>
  <Company>四川省财政厅</Company>
  <CharactersWithSpaces>9533</CharactersWithSpaces>
  <AppVersion>12.0000</AppVersion>
</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2052-11.1.0.12313</vt:lpstr>
  </property>
  <property fmtid="{D5CDD505-2E9C-101B-9397-08002B2CF9AE}" pid="3" name="ICV">
    <vt:lpstr>9BAA23D3776B486E852803FD86F53D71</vt:lpstr>
  </property>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2022-08-06T02:23:00Z</cp:lastPrinted>
  <dcterms:modified xsi:type="dcterms:W3CDTF">2022-09-06T02:20:57Z</dcterms:modified>
  <dc:title>四川省***</dc:title>
  <cp:revision>32</cp:revision>
</cp:core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2052-11.1.0.12313</vt:lpstr>
  </property>
  <property fmtid="{D5CDD505-2E9C-101B-9397-08002B2CF9AE}" pid="3" name="ICV">
    <vt:lpstr>9BAA23D3776B486E852803FD86F53D71</vt:lpstr>
  </property>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Administrator</cp:lastModifiedBy>
  <cp:revision>32</cp:revision>
  <cp:lastPrinted>2022-08-06T02:23:00Z</cp:lastPrinted>
  <dcterms:created xsi:type="dcterms:W3CDTF">2020-08-05T01:49:00Z</dcterms:created>
  <dcterms:modified xsi:type="dcterms:W3CDTF">2022-09-06T02:20:57Z</dcterms:modified>
</cp:coreProperties>
</file>

<file path=customXml/itemProps1.xml><?xml version="1.0" encoding="utf-8"?>
<ds:datastoreItem xmlns:ds="http://schemas.openxmlformats.org/officeDocument/2006/customXml" ds:itemID="{3110E764-0A7F-4CB8-B93E-A592BD1A910F}">
  <ds:schemaRefs/>
</ds:datastoreItem>
</file>

<file path=customXml/itemProps10.xml><?xml version="1.0" encoding="utf-8"?>
<ds:datastoreItem xmlns:ds="http://schemas.openxmlformats.org/officeDocument/2006/customXml" ds:itemID="{858CF854-ACFC-4285-BA1D-9A31AF1CC286}">
  <ds:schemaRefs/>
</ds:datastoreItem>
</file>

<file path=customXml/itemProps11.xml><?xml version="1.0" encoding="utf-8"?>
<ds:datastoreItem xmlns:ds="http://schemas.openxmlformats.org/officeDocument/2006/customXml" ds:itemID="{93F2EB4D-A720-4134-BE2C-F9F0D7611B42}">
  <ds:schemaRefs/>
</ds:datastoreItem>
</file>

<file path=customXml/itemProps12.xml><?xml version="1.0" encoding="utf-8"?>
<ds:datastoreItem xmlns:ds="http://schemas.openxmlformats.org/officeDocument/2006/customXml" ds:itemID="{F659040B-80BE-450B-A315-4D44A96786F7}">
  <ds:schemaRefs/>
</ds:datastoreItem>
</file>

<file path=customXml/itemProps2.xml><?xml version="1.0" encoding="utf-8"?>
<ds:datastoreItem xmlns:ds="http://schemas.openxmlformats.org/officeDocument/2006/customXml" ds:itemID="{FB705362-99DC-4C9A-875E-BF604C79A0EB}">
  <ds:schemaRefs/>
</ds:datastoreItem>
</file>

<file path=customXml/itemProps3.xml><?xml version="1.0" encoding="utf-8"?>
<ds:datastoreItem xmlns:ds="http://schemas.openxmlformats.org/officeDocument/2006/customXml" ds:itemID="{6FD40CD2-06AB-4A04-90DF-AC660B4CB701}">
  <ds:schemaRefs/>
</ds:datastoreItem>
</file>

<file path=customXml/itemProps4.xml><?xml version="1.0" encoding="utf-8"?>
<ds:datastoreItem xmlns:ds="http://schemas.openxmlformats.org/officeDocument/2006/customXml" ds:itemID="{736B3576-58AD-49D7-91C3-43F6784C2D7F}">
  <ds:schemaRefs/>
</ds:datastoreItem>
</file>

<file path=customXml/itemProps5.xml><?xml version="1.0" encoding="utf-8"?>
<ds:datastoreItem xmlns:ds="http://schemas.openxmlformats.org/officeDocument/2006/customXml" ds:itemID="{5B162487-1279-4DE8-8CDD-9CCA195BBDA0}">
  <ds:schemaRefs/>
</ds:datastoreItem>
</file>

<file path=customXml/itemProps6.xml><?xml version="1.0" encoding="utf-8"?>
<ds:datastoreItem xmlns:ds="http://schemas.openxmlformats.org/officeDocument/2006/customXml" ds:itemID="{92240CA2-1DA5-4815-9E52-5755F041E498}">
  <ds:schemaRefs/>
</ds:datastoreItem>
</file>

<file path=customXml/itemProps7.xml><?xml version="1.0" encoding="utf-8"?>
<ds:datastoreItem xmlns:ds="http://schemas.openxmlformats.org/officeDocument/2006/customXml" ds:itemID="{B4E08784-2169-4342-AC41-37B520CE3380}">
  <ds:schemaRefs/>
</ds:datastoreItem>
</file>

<file path=customXml/itemProps8.xml><?xml version="1.0" encoding="utf-8"?>
<ds:datastoreItem xmlns:ds="http://schemas.openxmlformats.org/officeDocument/2006/customXml" ds:itemID="{99AD5AA5-875F-4437-AF15-A85C764C242D}">
  <ds:schemaRefs/>
</ds:datastoreItem>
</file>

<file path=customXml/itemProps9.xml><?xml version="1.0" encoding="utf-8"?>
<ds:datastoreItem xmlns:ds="http://schemas.openxmlformats.org/officeDocument/2006/customXml" ds:itemID="{94071D1D-E4FA-4DE3-B200-B4A35329B64E}">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8290</Words>
  <Characters>8995</Characters>
  <Lines>67</Lines>
  <Paragraphs>19</Paragraphs>
  <TotalTime>26</TotalTime>
  <ScaleCrop>false</ScaleCrop>
  <LinksUpToDate>false</LinksUpToDate>
  <CharactersWithSpaces>9033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狂奔的蜗牛</cp:lastModifiedBy>
  <cp:lastPrinted>2022-08-06T02:23:00Z</cp:lastPrinted>
  <dcterms:modified xsi:type="dcterms:W3CDTF">2023-06-18T09:14:17Z</dcterms:modified>
  <dc:title>四川省***</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9BAA23D3776B486E852803FD86F53D71</vt:lpwstr>
  </property>
</Properties>
</file>