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477" w:rsidRDefault="00FD3477">
      <w:pPr>
        <w:spacing w:line="600" w:lineRule="exact"/>
        <w:jc w:val="center"/>
        <w:rPr>
          <w:rFonts w:ascii="方正小标宋简体" w:eastAsia="方正小标宋简体" w:hAnsi="宋体"/>
          <w:sz w:val="72"/>
          <w:szCs w:val="72"/>
        </w:rPr>
      </w:pPr>
      <w:bookmarkStart w:id="0" w:name="_Toc15306267"/>
    </w:p>
    <w:p w:rsidR="00FD3477" w:rsidRDefault="00FD3477">
      <w:pPr>
        <w:spacing w:line="600" w:lineRule="exact"/>
        <w:jc w:val="center"/>
        <w:rPr>
          <w:rFonts w:ascii="方正小标宋简体" w:eastAsia="方正小标宋简体" w:hAnsi="宋体"/>
          <w:sz w:val="72"/>
          <w:szCs w:val="72"/>
        </w:rPr>
      </w:pPr>
    </w:p>
    <w:p w:rsidR="00FD3477" w:rsidRDefault="00FD3477">
      <w:pPr>
        <w:spacing w:line="600" w:lineRule="exact"/>
        <w:jc w:val="center"/>
        <w:rPr>
          <w:rFonts w:ascii="方正小标宋简体" w:eastAsia="方正小标宋简体" w:hAnsi="宋体"/>
          <w:sz w:val="72"/>
          <w:szCs w:val="72"/>
        </w:rPr>
      </w:pPr>
    </w:p>
    <w:p w:rsidR="00FD3477" w:rsidRDefault="00FD3477">
      <w:pPr>
        <w:spacing w:line="600" w:lineRule="exact"/>
        <w:jc w:val="center"/>
        <w:rPr>
          <w:rFonts w:ascii="方正小标宋简体" w:eastAsia="方正小标宋简体" w:hAnsi="宋体"/>
          <w:sz w:val="72"/>
          <w:szCs w:val="72"/>
        </w:rPr>
      </w:pPr>
    </w:p>
    <w:p w:rsidR="00FD3477" w:rsidRDefault="00B3617E">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96597"/>
      <w:bookmarkStart w:id="2" w:name="_Toc15377193"/>
      <w:bookmarkStart w:id="3" w:name="_Toc15378441"/>
      <w:bookmarkStart w:id="4" w:name="_Toc15396475"/>
      <w:bookmarkStart w:id="5" w:name="_Toc15377425"/>
      <w:bookmarkStart w:id="6" w:name="_Toc1480"/>
      <w:r>
        <w:rPr>
          <w:rFonts w:ascii="方正小标宋简体" w:eastAsia="方正小标宋简体" w:hAnsi="方正小标宋简体" w:cs="方正小标宋简体" w:hint="eastAsia"/>
          <w:sz w:val="72"/>
          <w:szCs w:val="72"/>
        </w:rPr>
        <w:t>2021</w:t>
      </w:r>
      <w:r>
        <w:rPr>
          <w:rFonts w:ascii="方正小标宋简体" w:eastAsia="方正小标宋简体" w:hAnsi="方正小标宋简体" w:cs="方正小标宋简体" w:hint="eastAsia"/>
          <w:sz w:val="72"/>
          <w:szCs w:val="72"/>
        </w:rPr>
        <w:t>年度</w:t>
      </w:r>
      <w:bookmarkEnd w:id="1"/>
      <w:bookmarkEnd w:id="2"/>
      <w:bookmarkEnd w:id="3"/>
      <w:bookmarkEnd w:id="4"/>
      <w:bookmarkEnd w:id="5"/>
      <w:bookmarkEnd w:id="6"/>
    </w:p>
    <w:p w:rsidR="00FD3477" w:rsidRDefault="00B3617E">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7" w:name="_Toc15377426"/>
      <w:bookmarkStart w:id="8" w:name="_Toc15396598"/>
      <w:bookmarkStart w:id="9" w:name="_Toc15396476"/>
      <w:bookmarkStart w:id="10" w:name="_Toc15377194"/>
      <w:bookmarkStart w:id="11" w:name="_Toc15378442"/>
      <w:bookmarkStart w:id="12" w:name="_Toc9586"/>
      <w:r>
        <w:rPr>
          <w:rFonts w:ascii="方正小标宋简体" w:eastAsia="方正小标宋简体" w:hAnsi="方正小标宋简体" w:cs="方正小标宋简体" w:hint="eastAsia"/>
          <w:sz w:val="72"/>
          <w:szCs w:val="72"/>
        </w:rPr>
        <w:t>四川省</w:t>
      </w:r>
      <w:bookmarkStart w:id="13" w:name="_Toc15306268"/>
      <w:bookmarkEnd w:id="0"/>
      <w:r>
        <w:rPr>
          <w:rFonts w:ascii="方正小标宋简体" w:eastAsia="方正小标宋简体" w:hAnsi="方正小标宋简体" w:cs="方正小标宋简体" w:hint="eastAsia"/>
          <w:sz w:val="72"/>
          <w:szCs w:val="72"/>
        </w:rPr>
        <w:t>通江县种子管理站单位决算</w:t>
      </w:r>
      <w:bookmarkEnd w:id="7"/>
      <w:bookmarkEnd w:id="8"/>
      <w:bookmarkEnd w:id="9"/>
      <w:bookmarkEnd w:id="10"/>
      <w:bookmarkEnd w:id="11"/>
      <w:bookmarkEnd w:id="12"/>
      <w:bookmarkEnd w:id="13"/>
    </w:p>
    <w:p w:rsidR="00FD3477" w:rsidRDefault="00B3617E">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FD3477" w:rsidRDefault="00FD3477">
      <w:pPr>
        <w:pStyle w:val="a0"/>
        <w:spacing w:before="93"/>
      </w:pPr>
    </w:p>
    <w:p w:rsidR="00FD3477" w:rsidRDefault="00B3617E">
      <w:pPr>
        <w:pStyle w:val="TOC1"/>
        <w:rPr>
          <w:rFonts w:ascii="仿宋_GB2312" w:eastAsia="仿宋_GB2312" w:hAnsi="仿宋_GB2312" w:cs="仿宋_GB2312"/>
          <w:sz w:val="30"/>
          <w:szCs w:val="30"/>
        </w:rPr>
      </w:pPr>
      <w:r>
        <w:rPr>
          <w:rFonts w:ascii="仿宋_GB2312" w:eastAsia="仿宋_GB2312" w:hAnsi="仿宋_GB2312" w:cs="仿宋_GB2312" w:hint="eastAsia"/>
          <w:sz w:val="30"/>
          <w:szCs w:val="30"/>
        </w:rPr>
        <w:t>公开时间：</w:t>
      </w:r>
      <w:r>
        <w:rPr>
          <w:rFonts w:ascii="仿宋_GB2312" w:eastAsia="仿宋_GB2312" w:hAnsi="仿宋_GB2312" w:cs="仿宋_GB2312" w:hint="eastAsia"/>
          <w:sz w:val="30"/>
          <w:szCs w:val="30"/>
        </w:rPr>
        <w:t>2022</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9</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日</w:t>
      </w:r>
    </w:p>
    <w:p w:rsidR="00FD3477" w:rsidRDefault="00FD3477"/>
    <w:bookmarkStart w:id="14" w:name="_Toc15377196" w:displacedByCustomXml="next"/>
    <w:bookmarkStart w:id="15" w:name="_Toc15396599" w:displacedByCustomXml="next"/>
    <w:sdt>
      <w:sdtPr>
        <w:rPr>
          <w:rFonts w:ascii="宋体" w:hAnsi="宋体"/>
        </w:rPr>
        <w:id w:val="147476971"/>
        <w15:color w:val="DBDBDB"/>
        <w:docPartObj>
          <w:docPartGallery w:val="Table of Contents"/>
          <w:docPartUnique/>
        </w:docPartObj>
      </w:sdtPr>
      <w:sdtEndPr>
        <w:rPr>
          <w:b/>
        </w:rPr>
      </w:sdtEndPr>
      <w:sdtContent>
        <w:p w:rsidR="00FD3477" w:rsidRDefault="00FD3477">
          <w:pPr>
            <w:jc w:val="center"/>
          </w:pPr>
        </w:p>
        <w:p w:rsidR="00FD3477" w:rsidRDefault="00B3617E">
          <w:pPr>
            <w:pStyle w:val="WPSOffice1"/>
            <w:tabs>
              <w:tab w:val="right" w:leader="dot" w:pos="8306"/>
            </w:tabs>
            <w:rPr>
              <w:b/>
            </w:rPr>
          </w:pPr>
          <w:r>
            <w:fldChar w:fldCharType="begin"/>
          </w:r>
          <w:r>
            <w:instrText xml:space="preserve">TOC \o "1-2" \h \u </w:instrText>
          </w:r>
          <w:r>
            <w:fldChar w:fldCharType="separate"/>
          </w:r>
          <w:hyperlink w:anchor="_Toc20146" w:history="1">
            <w:r>
              <w:rPr>
                <w:rFonts w:ascii="黑体" w:eastAsia="黑体" w:hAnsi="黑体" w:hint="eastAsia"/>
                <w:b/>
              </w:rPr>
              <w:t>第一部分</w:t>
            </w:r>
            <w:r>
              <w:rPr>
                <w:rFonts w:ascii="黑体" w:eastAsia="黑体" w:hAnsi="黑体" w:hint="eastAsia"/>
                <w:b/>
              </w:rPr>
              <w:t xml:space="preserve"> </w:t>
            </w:r>
            <w:r>
              <w:rPr>
                <w:rFonts w:ascii="黑体" w:eastAsia="黑体" w:hAnsi="黑体" w:hint="eastAsia"/>
                <w:b/>
              </w:rPr>
              <w:t>单位</w:t>
            </w:r>
            <w:r>
              <w:rPr>
                <w:rFonts w:ascii="黑体" w:eastAsia="黑体" w:hAnsi="黑体" w:hint="eastAsia"/>
                <w:b/>
              </w:rPr>
              <w:t>概况</w:t>
            </w:r>
            <w:r>
              <w:rPr>
                <w:b/>
              </w:rPr>
              <w:tab/>
            </w:r>
            <w:r>
              <w:rPr>
                <w:b/>
              </w:rPr>
              <w:fldChar w:fldCharType="begin"/>
            </w:r>
            <w:r>
              <w:rPr>
                <w:b/>
              </w:rPr>
              <w:instrText xml:space="preserve"> PAGEREF _Toc20146 </w:instrText>
            </w:r>
            <w:r>
              <w:rPr>
                <w:b/>
              </w:rPr>
              <w:fldChar w:fldCharType="separate"/>
            </w:r>
            <w:r>
              <w:rPr>
                <w:b/>
              </w:rPr>
              <w:t>3</w:t>
            </w:r>
            <w:r>
              <w:rPr>
                <w:b/>
              </w:rPr>
              <w:fldChar w:fldCharType="end"/>
            </w:r>
          </w:hyperlink>
        </w:p>
        <w:p w:rsidR="00FD3477" w:rsidRDefault="00B3617E">
          <w:pPr>
            <w:pStyle w:val="WPSOffice2"/>
            <w:tabs>
              <w:tab w:val="right" w:leader="dot" w:pos="8306"/>
            </w:tabs>
            <w:ind w:left="420"/>
          </w:pPr>
          <w:hyperlink w:anchor="_Toc4840" w:history="1">
            <w:r>
              <w:rPr>
                <w:rFonts w:ascii="黑体" w:eastAsia="黑体" w:hAnsi="黑体"/>
              </w:rPr>
              <w:t>一、</w:t>
            </w:r>
            <w:r>
              <w:rPr>
                <w:rFonts w:ascii="黑体" w:eastAsia="黑体" w:hAnsi="黑体"/>
              </w:rPr>
              <w:t xml:space="preserve"> </w:t>
            </w:r>
            <w:r>
              <w:rPr>
                <w:rFonts w:ascii="黑体" w:eastAsia="黑体" w:hAnsi="黑体" w:hint="eastAsia"/>
              </w:rPr>
              <w:t>职能简介</w:t>
            </w:r>
            <w:r>
              <w:tab/>
            </w:r>
            <w:r>
              <w:fldChar w:fldCharType="begin"/>
            </w:r>
            <w:r>
              <w:instrText xml:space="preserve"> PAGEREF _Toc4840 </w:instrText>
            </w:r>
            <w:r>
              <w:fldChar w:fldCharType="separate"/>
            </w:r>
            <w:r>
              <w:t>3</w:t>
            </w:r>
            <w:r>
              <w:fldChar w:fldCharType="end"/>
            </w:r>
          </w:hyperlink>
        </w:p>
        <w:p w:rsidR="00FD3477" w:rsidRDefault="00B3617E">
          <w:pPr>
            <w:pStyle w:val="WPSOffice2"/>
            <w:tabs>
              <w:tab w:val="right" w:leader="dot" w:pos="8306"/>
            </w:tabs>
            <w:ind w:left="420"/>
          </w:pPr>
          <w:hyperlink w:anchor="_Toc15448" w:history="1">
            <w:r>
              <w:rPr>
                <w:rFonts w:ascii="黑体" w:eastAsia="黑体" w:hAnsi="黑体" w:hint="eastAsia"/>
              </w:rPr>
              <w:t>二、</w:t>
            </w:r>
            <w:r>
              <w:rPr>
                <w:rFonts w:ascii="黑体" w:eastAsia="黑体" w:hAnsi="黑体" w:hint="eastAsia"/>
              </w:rPr>
              <w:t>2021</w:t>
            </w:r>
            <w:r>
              <w:rPr>
                <w:rFonts w:ascii="黑体" w:eastAsia="黑体" w:hAnsi="黑体" w:hint="eastAsia"/>
              </w:rPr>
              <w:t>年重点工作完成情况</w:t>
            </w:r>
            <w:r>
              <w:tab/>
            </w:r>
            <w:r>
              <w:fldChar w:fldCharType="begin"/>
            </w:r>
            <w:r>
              <w:instrText xml:space="preserve"> PAGEREF _Toc15448 </w:instrText>
            </w:r>
            <w:r>
              <w:fldChar w:fldCharType="separate"/>
            </w:r>
            <w:r>
              <w:t>3</w:t>
            </w:r>
            <w:r>
              <w:fldChar w:fldCharType="end"/>
            </w:r>
          </w:hyperlink>
        </w:p>
        <w:p w:rsidR="00FD3477" w:rsidRDefault="00B3617E">
          <w:pPr>
            <w:pStyle w:val="WPSOffice1"/>
            <w:tabs>
              <w:tab w:val="right" w:leader="dot" w:pos="8306"/>
            </w:tabs>
            <w:rPr>
              <w:b/>
            </w:rPr>
          </w:pPr>
          <w:hyperlink w:anchor="_Toc31746" w:history="1">
            <w:r>
              <w:rPr>
                <w:rFonts w:ascii="黑体" w:eastAsia="黑体" w:hAnsi="黑体" w:hint="eastAsia"/>
                <w:b/>
              </w:rPr>
              <w:t>第二部分</w:t>
            </w:r>
            <w:r>
              <w:rPr>
                <w:rFonts w:ascii="黑体" w:eastAsia="黑体" w:hAnsi="黑体" w:hint="eastAsia"/>
                <w:b/>
              </w:rPr>
              <w:t xml:space="preserve"> 2021</w:t>
            </w:r>
            <w:r>
              <w:rPr>
                <w:rFonts w:ascii="黑体" w:eastAsia="黑体" w:hAnsi="黑体" w:hint="eastAsia"/>
                <w:b/>
              </w:rPr>
              <w:t>年度</w:t>
            </w:r>
            <w:r>
              <w:rPr>
                <w:rFonts w:ascii="黑体" w:eastAsia="黑体" w:hAnsi="黑体" w:hint="eastAsia"/>
                <w:b/>
                <w:bCs/>
              </w:rPr>
              <w:t>单位决算情况说明</w:t>
            </w:r>
            <w:r>
              <w:rPr>
                <w:b/>
              </w:rPr>
              <w:tab/>
            </w:r>
            <w:r>
              <w:rPr>
                <w:b/>
              </w:rPr>
              <w:fldChar w:fldCharType="begin"/>
            </w:r>
            <w:r>
              <w:rPr>
                <w:b/>
              </w:rPr>
              <w:instrText xml:space="preserve"> PAGEREF _Toc31746 </w:instrText>
            </w:r>
            <w:r>
              <w:rPr>
                <w:b/>
              </w:rPr>
              <w:fldChar w:fldCharType="separate"/>
            </w:r>
            <w:r>
              <w:rPr>
                <w:b/>
              </w:rPr>
              <w:t>10</w:t>
            </w:r>
            <w:r>
              <w:rPr>
                <w:b/>
              </w:rPr>
              <w:fldChar w:fldCharType="end"/>
            </w:r>
          </w:hyperlink>
        </w:p>
        <w:p w:rsidR="00FD3477" w:rsidRDefault="00B3617E">
          <w:pPr>
            <w:pStyle w:val="WPSOffice2"/>
            <w:tabs>
              <w:tab w:val="right" w:leader="dot" w:pos="8306"/>
            </w:tabs>
            <w:ind w:left="420"/>
          </w:pPr>
          <w:hyperlink w:anchor="_Toc28292" w:history="1">
            <w:r>
              <w:rPr>
                <w:rFonts w:ascii="黑体" w:eastAsia="黑体" w:hAnsi="黑体"/>
              </w:rPr>
              <w:t>一、</w:t>
            </w:r>
            <w:r>
              <w:rPr>
                <w:rFonts w:ascii="黑体" w:eastAsia="黑体" w:hAnsi="黑体"/>
              </w:rPr>
              <w:t xml:space="preserve"> </w:t>
            </w:r>
            <w:r>
              <w:rPr>
                <w:rFonts w:ascii="黑体" w:eastAsia="黑体" w:hAnsi="黑体" w:hint="eastAsia"/>
                <w:szCs w:val="32"/>
              </w:rPr>
              <w:t>收</w:t>
            </w:r>
            <w:r>
              <w:rPr>
                <w:rFonts w:ascii="黑体" w:eastAsia="黑体" w:hAnsi="黑体" w:hint="eastAsia"/>
              </w:rPr>
              <w:t>入支出决算总体情况说明</w:t>
            </w:r>
            <w:r>
              <w:tab/>
            </w:r>
            <w:r>
              <w:fldChar w:fldCharType="begin"/>
            </w:r>
            <w:r>
              <w:instrText xml:space="preserve"> PAGEREF _Toc28292 </w:instrText>
            </w:r>
            <w:r>
              <w:fldChar w:fldCharType="separate"/>
            </w:r>
            <w:r>
              <w:t>10</w:t>
            </w:r>
            <w:r>
              <w:fldChar w:fldCharType="end"/>
            </w:r>
          </w:hyperlink>
        </w:p>
        <w:p w:rsidR="00FD3477" w:rsidRDefault="00B3617E">
          <w:pPr>
            <w:pStyle w:val="WPSOffice2"/>
            <w:tabs>
              <w:tab w:val="right" w:leader="dot" w:pos="8306"/>
            </w:tabs>
            <w:ind w:left="420"/>
          </w:pPr>
          <w:hyperlink w:anchor="_Toc4654" w:history="1">
            <w:r>
              <w:rPr>
                <w:rFonts w:ascii="黑体" w:eastAsia="黑体" w:hAnsi="黑体"/>
              </w:rPr>
              <w:t>二、</w:t>
            </w:r>
            <w:r>
              <w:rPr>
                <w:rFonts w:ascii="黑体" w:eastAsia="黑体" w:hAnsi="黑体"/>
              </w:rPr>
              <w:t xml:space="preserve"> </w:t>
            </w:r>
            <w:r>
              <w:rPr>
                <w:rFonts w:ascii="黑体" w:eastAsia="黑体" w:hAnsi="黑体" w:hint="eastAsia"/>
                <w:szCs w:val="32"/>
              </w:rPr>
              <w:t>收</w:t>
            </w:r>
            <w:r>
              <w:rPr>
                <w:rFonts w:ascii="黑体" w:eastAsia="黑体" w:hAnsi="黑体" w:hint="eastAsia"/>
              </w:rPr>
              <w:t>入决算情况说明</w:t>
            </w:r>
            <w:r>
              <w:tab/>
            </w:r>
            <w:r>
              <w:fldChar w:fldCharType="begin"/>
            </w:r>
            <w:r>
              <w:instrText xml:space="preserve"> PAGEREF _Toc4654 </w:instrText>
            </w:r>
            <w:r>
              <w:fldChar w:fldCharType="separate"/>
            </w:r>
            <w:r>
              <w:t>10</w:t>
            </w:r>
            <w:r>
              <w:fldChar w:fldCharType="end"/>
            </w:r>
          </w:hyperlink>
        </w:p>
        <w:p w:rsidR="00FD3477" w:rsidRDefault="00B3617E">
          <w:pPr>
            <w:pStyle w:val="WPSOffice2"/>
            <w:tabs>
              <w:tab w:val="right" w:leader="dot" w:pos="8306"/>
            </w:tabs>
            <w:ind w:left="420"/>
          </w:pPr>
          <w:hyperlink w:anchor="_Toc18064" w:history="1">
            <w:r>
              <w:rPr>
                <w:rFonts w:ascii="黑体" w:eastAsia="黑体" w:hAnsi="黑体"/>
              </w:rPr>
              <w:t>三、</w:t>
            </w:r>
            <w:r>
              <w:rPr>
                <w:rFonts w:ascii="黑体" w:eastAsia="黑体" w:hAnsi="黑体"/>
              </w:rPr>
              <w:t xml:space="preserve"> </w:t>
            </w:r>
            <w:r>
              <w:rPr>
                <w:rFonts w:ascii="黑体" w:eastAsia="黑体" w:hAnsi="黑体" w:hint="eastAsia"/>
                <w:szCs w:val="32"/>
              </w:rPr>
              <w:t>支</w:t>
            </w:r>
            <w:r>
              <w:rPr>
                <w:rFonts w:ascii="黑体" w:eastAsia="黑体" w:hAnsi="黑体" w:hint="eastAsia"/>
              </w:rPr>
              <w:t>出决算情况说明</w:t>
            </w:r>
            <w:r>
              <w:tab/>
            </w:r>
            <w:r>
              <w:fldChar w:fldCharType="begin"/>
            </w:r>
            <w:r>
              <w:instrText xml:space="preserve"> PAGEREF _Toc18064</w:instrText>
            </w:r>
            <w:r>
              <w:instrText xml:space="preserve"> </w:instrText>
            </w:r>
            <w:r>
              <w:fldChar w:fldCharType="separate"/>
            </w:r>
            <w:r>
              <w:t>11</w:t>
            </w:r>
            <w:r>
              <w:fldChar w:fldCharType="end"/>
            </w:r>
          </w:hyperlink>
        </w:p>
        <w:p w:rsidR="00FD3477" w:rsidRDefault="00B3617E">
          <w:pPr>
            <w:pStyle w:val="WPSOffice2"/>
            <w:tabs>
              <w:tab w:val="right" w:leader="dot" w:pos="8306"/>
            </w:tabs>
            <w:ind w:left="420"/>
          </w:pPr>
          <w:hyperlink w:anchor="_Toc11797" w:history="1">
            <w:r>
              <w:rPr>
                <w:rFonts w:ascii="黑体" w:eastAsia="黑体" w:hAnsi="黑体" w:hint="eastAsia"/>
                <w:szCs w:val="32"/>
              </w:rPr>
              <w:t>四、财</w:t>
            </w:r>
            <w:r>
              <w:rPr>
                <w:rFonts w:ascii="黑体" w:eastAsia="黑体" w:hAnsi="黑体" w:hint="eastAsia"/>
              </w:rPr>
              <w:t>政拨款收入支出决算总体情况说明</w:t>
            </w:r>
            <w:r>
              <w:tab/>
            </w:r>
            <w:r>
              <w:fldChar w:fldCharType="begin"/>
            </w:r>
            <w:r>
              <w:instrText xml:space="preserve"> PAGEREF _Toc11797 </w:instrText>
            </w:r>
            <w:r>
              <w:fldChar w:fldCharType="separate"/>
            </w:r>
            <w:r>
              <w:t>11</w:t>
            </w:r>
            <w:r>
              <w:fldChar w:fldCharType="end"/>
            </w:r>
          </w:hyperlink>
        </w:p>
        <w:p w:rsidR="00FD3477" w:rsidRDefault="00B3617E">
          <w:pPr>
            <w:pStyle w:val="WPSOffice2"/>
            <w:tabs>
              <w:tab w:val="right" w:leader="dot" w:pos="8306"/>
            </w:tabs>
            <w:ind w:left="420"/>
          </w:pPr>
          <w:hyperlink w:anchor="_Toc508" w:history="1">
            <w:r>
              <w:rPr>
                <w:rFonts w:ascii="黑体" w:eastAsia="黑体" w:hAnsi="黑体" w:hint="eastAsia"/>
                <w:szCs w:val="32"/>
              </w:rPr>
              <w:t>五、一</w:t>
            </w:r>
            <w:r>
              <w:rPr>
                <w:rFonts w:ascii="黑体" w:eastAsia="黑体" w:hAnsi="黑体" w:hint="eastAsia"/>
              </w:rPr>
              <w:t>般公共预算财政拨款支出决算情况说明</w:t>
            </w:r>
            <w:r>
              <w:tab/>
            </w:r>
            <w:r>
              <w:fldChar w:fldCharType="begin"/>
            </w:r>
            <w:r>
              <w:instrText xml:space="preserve"> PAGEREF _Toc508 </w:instrText>
            </w:r>
            <w:r>
              <w:fldChar w:fldCharType="separate"/>
            </w:r>
            <w:r>
              <w:t>12</w:t>
            </w:r>
            <w:r>
              <w:fldChar w:fldCharType="end"/>
            </w:r>
          </w:hyperlink>
        </w:p>
        <w:p w:rsidR="00FD3477" w:rsidRDefault="00B3617E">
          <w:pPr>
            <w:pStyle w:val="WPSOffice2"/>
            <w:tabs>
              <w:tab w:val="right" w:leader="dot" w:pos="8306"/>
            </w:tabs>
            <w:ind w:left="420"/>
          </w:pPr>
          <w:hyperlink w:anchor="_Toc25571" w:history="1">
            <w:r>
              <w:rPr>
                <w:rFonts w:ascii="黑体" w:eastAsia="黑体" w:hint="eastAsia"/>
                <w:szCs w:val="32"/>
              </w:rPr>
              <w:t>六、</w:t>
            </w:r>
            <w:r>
              <w:rPr>
                <w:rFonts w:ascii="黑体" w:eastAsia="黑体" w:hAnsi="黑体" w:hint="eastAsia"/>
                <w:szCs w:val="32"/>
              </w:rPr>
              <w:t>一</w:t>
            </w:r>
            <w:r>
              <w:rPr>
                <w:rFonts w:ascii="黑体" w:eastAsia="黑体" w:hAnsi="黑体" w:hint="eastAsia"/>
              </w:rPr>
              <w:t>般公共预算财政拨款基本支出决算情况说明</w:t>
            </w:r>
            <w:r>
              <w:tab/>
            </w:r>
            <w:r>
              <w:fldChar w:fldCharType="begin"/>
            </w:r>
            <w:r>
              <w:instrText xml:space="preserve"> PAGEREF _Toc25571 </w:instrText>
            </w:r>
            <w:r>
              <w:fldChar w:fldCharType="separate"/>
            </w:r>
            <w:r>
              <w:t>14</w:t>
            </w:r>
            <w:r>
              <w:fldChar w:fldCharType="end"/>
            </w:r>
          </w:hyperlink>
        </w:p>
        <w:p w:rsidR="00FD3477" w:rsidRDefault="00B3617E">
          <w:pPr>
            <w:pStyle w:val="WPSOffice2"/>
            <w:tabs>
              <w:tab w:val="right" w:leader="dot" w:pos="8306"/>
            </w:tabs>
            <w:ind w:left="420"/>
          </w:pPr>
          <w:hyperlink w:anchor="_Toc20869" w:history="1">
            <w:r>
              <w:rPr>
                <w:rFonts w:ascii="黑体" w:eastAsia="黑体" w:hint="eastAsia"/>
                <w:szCs w:val="32"/>
              </w:rPr>
              <w:t>七、</w:t>
            </w:r>
            <w:r>
              <w:rPr>
                <w:rFonts w:ascii="黑体" w:eastAsia="黑体" w:hAnsi="黑体" w:hint="eastAsia"/>
              </w:rPr>
              <w:t>“三公”经</w:t>
            </w:r>
            <w:r>
              <w:rPr>
                <w:rFonts w:ascii="黑体" w:eastAsia="黑体" w:hAnsi="黑体" w:hint="eastAsia"/>
              </w:rPr>
              <w:t>费财政拨款支出决算情况说明</w:t>
            </w:r>
            <w:r>
              <w:tab/>
            </w:r>
            <w:r>
              <w:fldChar w:fldCharType="begin"/>
            </w:r>
            <w:r>
              <w:instrText xml:space="preserve"> PAGEREF _Toc20869 </w:instrText>
            </w:r>
            <w:r>
              <w:fldChar w:fldCharType="separate"/>
            </w:r>
            <w:r>
              <w:t>15</w:t>
            </w:r>
            <w:r>
              <w:fldChar w:fldCharType="end"/>
            </w:r>
          </w:hyperlink>
        </w:p>
        <w:p w:rsidR="00FD3477" w:rsidRDefault="00B3617E">
          <w:pPr>
            <w:pStyle w:val="WPSOffice2"/>
            <w:tabs>
              <w:tab w:val="right" w:leader="dot" w:pos="8306"/>
            </w:tabs>
            <w:ind w:left="420"/>
          </w:pPr>
          <w:hyperlink w:anchor="_Toc2567" w:history="1">
            <w:r>
              <w:rPr>
                <w:rFonts w:ascii="黑体" w:eastAsia="黑体" w:hint="eastAsia"/>
                <w:szCs w:val="32"/>
              </w:rPr>
              <w:t>八、</w:t>
            </w:r>
            <w:r>
              <w:rPr>
                <w:rFonts w:ascii="黑体" w:eastAsia="黑体" w:hAnsi="黑体" w:hint="eastAsia"/>
              </w:rPr>
              <w:t>政府性基金预算支出决算情况说明</w:t>
            </w:r>
            <w:r>
              <w:tab/>
            </w:r>
            <w:r>
              <w:fldChar w:fldCharType="begin"/>
            </w:r>
            <w:r>
              <w:instrText xml:space="preserve"> PAGEREF _Toc2567 </w:instrText>
            </w:r>
            <w:r>
              <w:fldChar w:fldCharType="separate"/>
            </w:r>
            <w:r>
              <w:t>15</w:t>
            </w:r>
            <w:r>
              <w:fldChar w:fldCharType="end"/>
            </w:r>
          </w:hyperlink>
        </w:p>
        <w:p w:rsidR="00FD3477" w:rsidRDefault="00B3617E">
          <w:pPr>
            <w:pStyle w:val="WPSOffice2"/>
            <w:tabs>
              <w:tab w:val="right" w:leader="dot" w:pos="8306"/>
            </w:tabs>
            <w:ind w:left="420"/>
          </w:pPr>
          <w:hyperlink w:anchor="_Toc27131" w:history="1">
            <w:r>
              <w:rPr>
                <w:rFonts w:ascii="黑体" w:eastAsia="黑体" w:hAnsi="黑体" w:hint="eastAsia"/>
              </w:rPr>
              <w:t>九、</w:t>
            </w:r>
            <w:r>
              <w:rPr>
                <w:rFonts w:ascii="黑体" w:eastAsia="黑体" w:hAnsi="黑体" w:hint="eastAsia"/>
              </w:rPr>
              <w:t xml:space="preserve"> </w:t>
            </w:r>
            <w:r>
              <w:rPr>
                <w:rFonts w:ascii="黑体" w:eastAsia="黑体" w:hAnsi="黑体" w:hint="eastAsia"/>
              </w:rPr>
              <w:t>国有资本经营预算支出决算情况说明</w:t>
            </w:r>
            <w:r>
              <w:tab/>
            </w:r>
            <w:r>
              <w:fldChar w:fldCharType="begin"/>
            </w:r>
            <w:r>
              <w:instrText xml:space="preserve"> PAGEREF _Toc27131 </w:instrText>
            </w:r>
            <w:r>
              <w:fldChar w:fldCharType="separate"/>
            </w:r>
            <w:r>
              <w:t>15</w:t>
            </w:r>
            <w:r>
              <w:fldChar w:fldCharType="end"/>
            </w:r>
          </w:hyperlink>
        </w:p>
        <w:p w:rsidR="00FD3477" w:rsidRDefault="00B3617E">
          <w:pPr>
            <w:pStyle w:val="WPSOffice2"/>
            <w:tabs>
              <w:tab w:val="right" w:leader="dot" w:pos="8306"/>
            </w:tabs>
            <w:ind w:left="420"/>
          </w:pPr>
          <w:hyperlink w:anchor="_Toc17572" w:history="1">
            <w:r>
              <w:rPr>
                <w:rFonts w:ascii="黑体" w:eastAsia="黑体" w:hAnsi="黑体" w:hint="eastAsia"/>
              </w:rPr>
              <w:t>十、</w:t>
            </w:r>
            <w:r>
              <w:rPr>
                <w:rFonts w:ascii="黑体" w:eastAsia="黑体" w:hAnsi="黑体" w:hint="eastAsia"/>
              </w:rPr>
              <w:t xml:space="preserve"> </w:t>
            </w:r>
            <w:r>
              <w:rPr>
                <w:rFonts w:ascii="黑体" w:eastAsia="黑体" w:hAnsi="黑体" w:hint="eastAsia"/>
              </w:rPr>
              <w:t>其他重要事项的情况说明</w:t>
            </w:r>
            <w:r>
              <w:tab/>
            </w:r>
            <w:r>
              <w:fldChar w:fldCharType="begin"/>
            </w:r>
            <w:r>
              <w:instrText xml:space="preserve"> PAGEREF _Toc17572 </w:instrText>
            </w:r>
            <w:r>
              <w:fldChar w:fldCharType="separate"/>
            </w:r>
            <w:r>
              <w:t>16</w:t>
            </w:r>
            <w:r>
              <w:fldChar w:fldCharType="end"/>
            </w:r>
          </w:hyperlink>
        </w:p>
        <w:p w:rsidR="00FD3477" w:rsidRDefault="00B3617E">
          <w:pPr>
            <w:pStyle w:val="WPSOffice1"/>
            <w:tabs>
              <w:tab w:val="right" w:leader="dot" w:pos="8306"/>
            </w:tabs>
            <w:rPr>
              <w:b/>
            </w:rPr>
          </w:pPr>
          <w:hyperlink w:anchor="_Toc16457" w:history="1">
            <w:r>
              <w:rPr>
                <w:rFonts w:ascii="黑体" w:eastAsia="黑体" w:hAnsi="黑体" w:cs="黑体" w:hint="eastAsia"/>
                <w:b/>
                <w:szCs w:val="44"/>
              </w:rPr>
              <w:t>第三部分</w:t>
            </w:r>
            <w:r>
              <w:rPr>
                <w:rFonts w:ascii="黑体" w:eastAsia="黑体" w:hAnsi="黑体" w:cs="黑体" w:hint="eastAsia"/>
                <w:b/>
                <w:szCs w:val="44"/>
              </w:rPr>
              <w:t xml:space="preserve"> </w:t>
            </w:r>
            <w:r>
              <w:rPr>
                <w:rFonts w:ascii="黑体" w:eastAsia="黑体" w:hAnsi="黑体" w:hint="eastAsia"/>
                <w:b/>
                <w:szCs w:val="44"/>
              </w:rPr>
              <w:t>名</w:t>
            </w:r>
            <w:r>
              <w:rPr>
                <w:rFonts w:ascii="黑体" w:eastAsia="黑体" w:hAnsi="黑体" w:hint="eastAsia"/>
                <w:b/>
              </w:rPr>
              <w:t>词解释</w:t>
            </w:r>
            <w:r>
              <w:rPr>
                <w:b/>
              </w:rPr>
              <w:tab/>
            </w:r>
            <w:r>
              <w:rPr>
                <w:b/>
              </w:rPr>
              <w:fldChar w:fldCharType="begin"/>
            </w:r>
            <w:r>
              <w:rPr>
                <w:b/>
              </w:rPr>
              <w:instrText xml:space="preserve"> PAGEREF _Toc16457 </w:instrText>
            </w:r>
            <w:r>
              <w:rPr>
                <w:b/>
              </w:rPr>
              <w:fldChar w:fldCharType="separate"/>
            </w:r>
            <w:r>
              <w:rPr>
                <w:b/>
              </w:rPr>
              <w:t>17</w:t>
            </w:r>
            <w:r>
              <w:rPr>
                <w:b/>
              </w:rPr>
              <w:fldChar w:fldCharType="end"/>
            </w:r>
          </w:hyperlink>
        </w:p>
        <w:p w:rsidR="00FD3477" w:rsidRDefault="00B3617E">
          <w:pPr>
            <w:pStyle w:val="WPSOffice1"/>
            <w:tabs>
              <w:tab w:val="right" w:leader="dot" w:pos="8306"/>
            </w:tabs>
            <w:rPr>
              <w:b/>
            </w:rPr>
          </w:pPr>
          <w:hyperlink w:anchor="_Toc30952" w:history="1">
            <w:r>
              <w:rPr>
                <w:rFonts w:ascii="黑体" w:eastAsia="黑体" w:hAnsi="黑体" w:hint="eastAsia"/>
                <w:b/>
                <w:szCs w:val="44"/>
              </w:rPr>
              <w:t>第</w:t>
            </w:r>
            <w:r>
              <w:rPr>
                <w:rFonts w:ascii="黑体" w:eastAsia="黑体" w:hAnsi="黑体" w:hint="eastAsia"/>
                <w:b/>
              </w:rPr>
              <w:t>四部分</w:t>
            </w:r>
            <w:r>
              <w:rPr>
                <w:rFonts w:ascii="黑体" w:eastAsia="黑体" w:hAnsi="黑体" w:hint="eastAsia"/>
                <w:b/>
              </w:rPr>
              <w:t xml:space="preserve"> </w:t>
            </w:r>
            <w:r>
              <w:rPr>
                <w:rFonts w:ascii="黑体" w:eastAsia="黑体" w:hAnsi="黑体" w:hint="eastAsia"/>
                <w:b/>
              </w:rPr>
              <w:t>附件</w:t>
            </w:r>
            <w:r>
              <w:rPr>
                <w:b/>
              </w:rPr>
              <w:tab/>
            </w:r>
            <w:r>
              <w:rPr>
                <w:b/>
              </w:rPr>
              <w:fldChar w:fldCharType="begin"/>
            </w:r>
            <w:r>
              <w:rPr>
                <w:b/>
              </w:rPr>
              <w:instrText xml:space="preserve"> PAGEREF _Toc30952 </w:instrText>
            </w:r>
            <w:r>
              <w:rPr>
                <w:b/>
              </w:rPr>
              <w:fldChar w:fldCharType="separate"/>
            </w:r>
            <w:r>
              <w:rPr>
                <w:b/>
              </w:rPr>
              <w:t>20</w:t>
            </w:r>
            <w:r>
              <w:rPr>
                <w:b/>
              </w:rPr>
              <w:fldChar w:fldCharType="end"/>
            </w:r>
          </w:hyperlink>
        </w:p>
        <w:p w:rsidR="00FD3477" w:rsidRDefault="00B3617E">
          <w:pPr>
            <w:pStyle w:val="WPSOffice1"/>
            <w:tabs>
              <w:tab w:val="right" w:leader="dot" w:pos="8306"/>
            </w:tabs>
            <w:rPr>
              <w:b/>
            </w:rPr>
          </w:pPr>
          <w:hyperlink w:anchor="_Toc30108" w:history="1">
            <w:r>
              <w:rPr>
                <w:rFonts w:ascii="黑体" w:eastAsia="黑体" w:hAnsi="黑体" w:hint="eastAsia"/>
                <w:b/>
                <w:szCs w:val="44"/>
              </w:rPr>
              <w:t>第</w:t>
            </w:r>
            <w:r>
              <w:rPr>
                <w:rFonts w:ascii="黑体" w:eastAsia="黑体" w:hAnsi="黑体" w:hint="eastAsia"/>
                <w:b/>
              </w:rPr>
              <w:t>五部分</w:t>
            </w:r>
            <w:r>
              <w:rPr>
                <w:rFonts w:ascii="黑体" w:eastAsia="黑体" w:hAnsi="黑体" w:hint="eastAsia"/>
                <w:b/>
              </w:rPr>
              <w:t xml:space="preserve"> </w:t>
            </w:r>
            <w:r>
              <w:rPr>
                <w:rFonts w:ascii="黑体" w:eastAsia="黑体" w:hAnsi="黑体" w:hint="eastAsia"/>
                <w:b/>
              </w:rPr>
              <w:t>附表</w:t>
            </w:r>
            <w:r>
              <w:rPr>
                <w:b/>
              </w:rPr>
              <w:tab/>
            </w:r>
            <w:r>
              <w:rPr>
                <w:b/>
              </w:rPr>
              <w:fldChar w:fldCharType="begin"/>
            </w:r>
            <w:r>
              <w:rPr>
                <w:b/>
              </w:rPr>
              <w:instrText xml:space="preserve"> PAGEREF _Toc30108 </w:instrText>
            </w:r>
            <w:r>
              <w:rPr>
                <w:b/>
              </w:rPr>
              <w:fldChar w:fldCharType="separate"/>
            </w:r>
            <w:r>
              <w:rPr>
                <w:b/>
              </w:rPr>
              <w:t>22</w:t>
            </w:r>
            <w:r>
              <w:rPr>
                <w:b/>
              </w:rPr>
              <w:fldChar w:fldCharType="end"/>
            </w:r>
          </w:hyperlink>
        </w:p>
        <w:p w:rsidR="00FD3477" w:rsidRDefault="00B3617E">
          <w:pPr>
            <w:pStyle w:val="WPSOffice2"/>
            <w:tabs>
              <w:tab w:val="right" w:leader="dot" w:pos="8306"/>
            </w:tabs>
            <w:ind w:left="420"/>
          </w:pPr>
          <w:hyperlink w:anchor="_Toc17756" w:history="1">
            <w:r>
              <w:rPr>
                <w:rFonts w:ascii="仿宋" w:eastAsia="仿宋" w:hAnsi="仿宋" w:hint="eastAsia"/>
              </w:rPr>
              <w:t>一、收</w:t>
            </w:r>
            <w:r>
              <w:rPr>
                <w:rFonts w:ascii="仿宋" w:eastAsia="仿宋" w:hAnsi="仿宋" w:hint="eastAsia"/>
              </w:rPr>
              <w:t>入支出决算总表</w:t>
            </w:r>
            <w:r>
              <w:tab/>
            </w:r>
            <w:r>
              <w:fldChar w:fldCharType="begin"/>
            </w:r>
            <w:r>
              <w:instrText xml:space="preserve"> PAGEREF _Toc17756 </w:instrText>
            </w:r>
            <w:r>
              <w:fldChar w:fldCharType="separate"/>
            </w:r>
            <w:r>
              <w:t>22</w:t>
            </w:r>
            <w:r>
              <w:fldChar w:fldCharType="end"/>
            </w:r>
          </w:hyperlink>
        </w:p>
        <w:p w:rsidR="00FD3477" w:rsidRDefault="00B3617E">
          <w:pPr>
            <w:pStyle w:val="WPSOffice2"/>
            <w:tabs>
              <w:tab w:val="right" w:leader="dot" w:pos="8306"/>
            </w:tabs>
            <w:ind w:left="420"/>
          </w:pPr>
          <w:hyperlink w:anchor="_Toc29922" w:history="1">
            <w:r>
              <w:rPr>
                <w:rFonts w:ascii="仿宋" w:eastAsia="仿宋" w:hAnsi="仿宋" w:hint="eastAsia"/>
              </w:rPr>
              <w:t>二、收</w:t>
            </w:r>
            <w:r>
              <w:rPr>
                <w:rFonts w:ascii="仿宋" w:eastAsia="仿宋" w:hAnsi="仿宋" w:hint="eastAsia"/>
              </w:rPr>
              <w:t>入决算表</w:t>
            </w:r>
            <w:r>
              <w:tab/>
            </w:r>
            <w:r>
              <w:fldChar w:fldCharType="begin"/>
            </w:r>
            <w:r>
              <w:instrText xml:space="preserve"> PAGEREF _Toc29922 </w:instrText>
            </w:r>
            <w:r>
              <w:fldChar w:fldCharType="separate"/>
            </w:r>
            <w:r>
              <w:t>22</w:t>
            </w:r>
            <w:r>
              <w:fldChar w:fldCharType="end"/>
            </w:r>
          </w:hyperlink>
        </w:p>
        <w:p w:rsidR="00FD3477" w:rsidRDefault="00B3617E">
          <w:pPr>
            <w:pStyle w:val="WPSOffice2"/>
            <w:tabs>
              <w:tab w:val="right" w:leader="dot" w:pos="8306"/>
            </w:tabs>
            <w:ind w:left="420"/>
          </w:pPr>
          <w:hyperlink w:anchor="_Toc4659" w:history="1">
            <w:r>
              <w:rPr>
                <w:rFonts w:ascii="仿宋" w:eastAsia="仿宋" w:hAnsi="仿宋" w:hint="eastAsia"/>
              </w:rPr>
              <w:t>三、</w:t>
            </w:r>
            <w:r>
              <w:rPr>
                <w:rFonts w:ascii="仿宋" w:eastAsia="仿宋" w:hAnsi="仿宋" w:hint="eastAsia"/>
              </w:rPr>
              <w:t>支</w:t>
            </w:r>
            <w:r>
              <w:rPr>
                <w:rFonts w:ascii="仿宋" w:eastAsia="仿宋" w:hAnsi="仿宋" w:hint="eastAsia"/>
              </w:rPr>
              <w:t>出决算表</w:t>
            </w:r>
            <w:r>
              <w:tab/>
            </w:r>
            <w:r>
              <w:fldChar w:fldCharType="begin"/>
            </w:r>
            <w:r>
              <w:instrText xml:space="preserve"> PAGEREF _Toc4659 </w:instrText>
            </w:r>
            <w:r>
              <w:fldChar w:fldCharType="separate"/>
            </w:r>
            <w:r>
              <w:t>22</w:t>
            </w:r>
            <w:r>
              <w:fldChar w:fldCharType="end"/>
            </w:r>
          </w:hyperlink>
        </w:p>
        <w:p w:rsidR="00FD3477" w:rsidRDefault="00B3617E">
          <w:pPr>
            <w:pStyle w:val="WPSOffice2"/>
            <w:tabs>
              <w:tab w:val="right" w:leader="dot" w:pos="8306"/>
            </w:tabs>
            <w:ind w:left="420"/>
          </w:pPr>
          <w:hyperlink w:anchor="_Toc24070" w:history="1">
            <w:r>
              <w:rPr>
                <w:rFonts w:ascii="仿宋" w:eastAsia="仿宋" w:hAnsi="仿宋" w:hint="eastAsia"/>
              </w:rPr>
              <w:t>四、</w:t>
            </w:r>
            <w:r>
              <w:rPr>
                <w:rFonts w:ascii="仿宋" w:eastAsia="仿宋" w:hAnsi="仿宋" w:hint="eastAsia"/>
              </w:rPr>
              <w:t>财</w:t>
            </w:r>
            <w:r>
              <w:rPr>
                <w:rFonts w:ascii="仿宋" w:eastAsia="仿宋" w:hAnsi="仿宋" w:hint="eastAsia"/>
              </w:rPr>
              <w:t>政拨款收入支出决算总表</w:t>
            </w:r>
            <w:r>
              <w:tab/>
            </w:r>
            <w:r>
              <w:fldChar w:fldCharType="begin"/>
            </w:r>
            <w:r>
              <w:instrText xml:space="preserve"> PAGEREF _Toc24070 </w:instrText>
            </w:r>
            <w:r>
              <w:fldChar w:fldCharType="separate"/>
            </w:r>
            <w:r>
              <w:t>22</w:t>
            </w:r>
            <w:r>
              <w:fldChar w:fldCharType="end"/>
            </w:r>
          </w:hyperlink>
        </w:p>
        <w:p w:rsidR="00FD3477" w:rsidRDefault="00B3617E">
          <w:pPr>
            <w:pStyle w:val="WPSOffice2"/>
            <w:tabs>
              <w:tab w:val="right" w:leader="dot" w:pos="8306"/>
            </w:tabs>
            <w:ind w:left="420"/>
          </w:pPr>
          <w:hyperlink w:anchor="_Toc22760" w:history="1">
            <w:r>
              <w:rPr>
                <w:rFonts w:ascii="仿宋" w:eastAsia="仿宋" w:hAnsi="仿宋" w:hint="eastAsia"/>
              </w:rPr>
              <w:t>五、</w:t>
            </w:r>
            <w:r>
              <w:rPr>
                <w:rFonts w:ascii="仿宋" w:eastAsia="仿宋" w:hAnsi="仿宋" w:hint="eastAsia"/>
              </w:rPr>
              <w:t>财</w:t>
            </w:r>
            <w:r>
              <w:rPr>
                <w:rFonts w:ascii="仿宋" w:eastAsia="仿宋" w:hAnsi="仿宋" w:hint="eastAsia"/>
              </w:rPr>
              <w:t>政拨款支出决算明细表</w:t>
            </w:r>
            <w:r>
              <w:tab/>
            </w:r>
            <w:r>
              <w:fldChar w:fldCharType="begin"/>
            </w:r>
            <w:r>
              <w:instrText xml:space="preserve"> PAGEREF _Toc22760 </w:instrText>
            </w:r>
            <w:r>
              <w:fldChar w:fldCharType="separate"/>
            </w:r>
            <w:r>
              <w:t>22</w:t>
            </w:r>
            <w:r>
              <w:fldChar w:fldCharType="end"/>
            </w:r>
          </w:hyperlink>
        </w:p>
        <w:p w:rsidR="00FD3477" w:rsidRDefault="00B3617E">
          <w:pPr>
            <w:pStyle w:val="WPSOffice2"/>
            <w:tabs>
              <w:tab w:val="right" w:leader="dot" w:pos="8306"/>
            </w:tabs>
            <w:ind w:left="420"/>
          </w:pPr>
          <w:hyperlink w:anchor="_Toc12320" w:history="1">
            <w:r>
              <w:rPr>
                <w:rFonts w:ascii="仿宋" w:eastAsia="仿宋" w:hAnsi="仿宋" w:hint="eastAsia"/>
              </w:rPr>
              <w:t>六、</w:t>
            </w:r>
            <w:r>
              <w:rPr>
                <w:rFonts w:ascii="仿宋" w:eastAsia="仿宋" w:hAnsi="仿宋" w:hint="eastAsia"/>
              </w:rPr>
              <w:t>一</w:t>
            </w:r>
            <w:r>
              <w:rPr>
                <w:rFonts w:ascii="仿宋" w:eastAsia="仿宋" w:hAnsi="仿宋" w:hint="eastAsia"/>
              </w:rPr>
              <w:t>般公共预算财政拨款支出决算表</w:t>
            </w:r>
            <w:r>
              <w:tab/>
            </w:r>
            <w:r>
              <w:fldChar w:fldCharType="begin"/>
            </w:r>
            <w:r>
              <w:instrText xml:space="preserve"> PAGEREF _Toc12320 </w:instrText>
            </w:r>
            <w:r>
              <w:fldChar w:fldCharType="separate"/>
            </w:r>
            <w:r>
              <w:t>22</w:t>
            </w:r>
            <w:r>
              <w:fldChar w:fldCharType="end"/>
            </w:r>
          </w:hyperlink>
        </w:p>
        <w:p w:rsidR="00FD3477" w:rsidRDefault="00B3617E">
          <w:pPr>
            <w:pStyle w:val="WPSOffice2"/>
            <w:tabs>
              <w:tab w:val="right" w:leader="dot" w:pos="8306"/>
            </w:tabs>
            <w:ind w:left="420"/>
          </w:pPr>
          <w:hyperlink w:anchor="_Toc27155" w:history="1">
            <w:r>
              <w:rPr>
                <w:rFonts w:ascii="仿宋" w:eastAsia="仿宋" w:hAnsi="仿宋" w:hint="eastAsia"/>
              </w:rPr>
              <w:t>七、</w:t>
            </w:r>
            <w:r>
              <w:rPr>
                <w:rFonts w:ascii="仿宋" w:eastAsia="仿宋" w:hAnsi="仿宋" w:hint="eastAsia"/>
              </w:rPr>
              <w:t>一</w:t>
            </w:r>
            <w:r>
              <w:rPr>
                <w:rFonts w:ascii="仿宋" w:eastAsia="仿宋" w:hAnsi="仿宋" w:hint="eastAsia"/>
              </w:rPr>
              <w:t>般公共预算财政拨款支出决算明细表</w:t>
            </w:r>
            <w:r>
              <w:tab/>
            </w:r>
            <w:r>
              <w:fldChar w:fldCharType="begin"/>
            </w:r>
            <w:r>
              <w:instrText xml:space="preserve"> PAGEREF _Toc27155 </w:instrText>
            </w:r>
            <w:r>
              <w:fldChar w:fldCharType="separate"/>
            </w:r>
            <w:r>
              <w:t>22</w:t>
            </w:r>
            <w:r>
              <w:fldChar w:fldCharType="end"/>
            </w:r>
          </w:hyperlink>
        </w:p>
        <w:p w:rsidR="00FD3477" w:rsidRDefault="00B3617E">
          <w:pPr>
            <w:pStyle w:val="WPSOffice2"/>
            <w:tabs>
              <w:tab w:val="right" w:leader="dot" w:pos="8306"/>
            </w:tabs>
            <w:ind w:left="420"/>
          </w:pPr>
          <w:hyperlink w:anchor="_Toc30677" w:history="1">
            <w:r>
              <w:rPr>
                <w:rFonts w:ascii="仿宋" w:eastAsia="仿宋" w:hAnsi="仿宋" w:hint="eastAsia"/>
              </w:rPr>
              <w:t>八、</w:t>
            </w:r>
            <w:r>
              <w:rPr>
                <w:rFonts w:ascii="仿宋" w:eastAsia="仿宋" w:hAnsi="仿宋" w:hint="eastAsia"/>
              </w:rPr>
              <w:t>一</w:t>
            </w:r>
            <w:r>
              <w:rPr>
                <w:rFonts w:ascii="仿宋" w:eastAsia="仿宋" w:hAnsi="仿宋" w:hint="eastAsia"/>
              </w:rPr>
              <w:t>般公共预算财政拨款基本支出决算表</w:t>
            </w:r>
            <w:r>
              <w:tab/>
            </w:r>
            <w:r>
              <w:fldChar w:fldCharType="begin"/>
            </w:r>
            <w:r>
              <w:instrText xml:space="preserve"> PAGEREF _Toc30677 </w:instrText>
            </w:r>
            <w:r>
              <w:fldChar w:fldCharType="separate"/>
            </w:r>
            <w:r>
              <w:t>22</w:t>
            </w:r>
            <w:r>
              <w:fldChar w:fldCharType="end"/>
            </w:r>
          </w:hyperlink>
        </w:p>
        <w:p w:rsidR="00FD3477" w:rsidRDefault="00B3617E">
          <w:pPr>
            <w:pStyle w:val="WPSOffice2"/>
            <w:tabs>
              <w:tab w:val="right" w:leader="dot" w:pos="8306"/>
            </w:tabs>
            <w:ind w:left="420"/>
          </w:pPr>
          <w:hyperlink w:anchor="_Toc27754" w:history="1">
            <w:r>
              <w:rPr>
                <w:rFonts w:ascii="仿宋" w:eastAsia="仿宋" w:hAnsi="仿宋" w:hint="eastAsia"/>
              </w:rPr>
              <w:t>九、</w:t>
            </w:r>
            <w:r>
              <w:rPr>
                <w:rFonts w:ascii="仿宋" w:eastAsia="仿宋" w:hAnsi="仿宋" w:hint="eastAsia"/>
              </w:rPr>
              <w:t>一</w:t>
            </w:r>
            <w:r>
              <w:rPr>
                <w:rFonts w:ascii="仿宋" w:eastAsia="仿宋" w:hAnsi="仿宋" w:hint="eastAsia"/>
              </w:rPr>
              <w:t>般公共预算财政拨款项目支出决算表</w:t>
            </w:r>
            <w:r>
              <w:tab/>
            </w:r>
            <w:r>
              <w:fldChar w:fldCharType="begin"/>
            </w:r>
            <w:r>
              <w:instrText xml:space="preserve"> PAGEREF _Toc27754 </w:instrText>
            </w:r>
            <w:r>
              <w:fldChar w:fldCharType="separate"/>
            </w:r>
            <w:r>
              <w:t>22</w:t>
            </w:r>
            <w:r>
              <w:fldChar w:fldCharType="end"/>
            </w:r>
          </w:hyperlink>
        </w:p>
        <w:p w:rsidR="00FD3477" w:rsidRDefault="00B3617E">
          <w:pPr>
            <w:pStyle w:val="WPSOffice2"/>
            <w:tabs>
              <w:tab w:val="right" w:leader="dot" w:pos="8306"/>
            </w:tabs>
            <w:ind w:left="420"/>
          </w:pPr>
          <w:hyperlink w:anchor="_Toc779" w:history="1">
            <w:r>
              <w:rPr>
                <w:rFonts w:ascii="仿宋" w:eastAsia="仿宋" w:hAnsi="仿宋" w:hint="eastAsia"/>
              </w:rPr>
              <w:t>十、</w:t>
            </w:r>
            <w:r>
              <w:rPr>
                <w:rFonts w:ascii="仿宋" w:eastAsia="仿宋" w:hAnsi="仿宋" w:hint="eastAsia"/>
              </w:rPr>
              <w:t>一</w:t>
            </w:r>
            <w:r>
              <w:rPr>
                <w:rFonts w:ascii="仿宋" w:eastAsia="仿宋" w:hAnsi="仿宋" w:hint="eastAsia"/>
              </w:rPr>
              <w:t>般公共预算财政拨款“三公”经费支出决算表</w:t>
            </w:r>
            <w:r>
              <w:tab/>
            </w:r>
            <w:r>
              <w:fldChar w:fldCharType="begin"/>
            </w:r>
            <w:r>
              <w:instrText xml:space="preserve"> PAGEREF _Toc779 </w:instrText>
            </w:r>
            <w:r>
              <w:fldChar w:fldCharType="separate"/>
            </w:r>
            <w:r>
              <w:t>22</w:t>
            </w:r>
            <w:r>
              <w:fldChar w:fldCharType="end"/>
            </w:r>
          </w:hyperlink>
        </w:p>
        <w:p w:rsidR="00FD3477" w:rsidRDefault="00B3617E">
          <w:pPr>
            <w:pStyle w:val="WPSOffice2"/>
            <w:tabs>
              <w:tab w:val="right" w:leader="dot" w:pos="8306"/>
            </w:tabs>
            <w:ind w:left="420"/>
          </w:pPr>
          <w:hyperlink w:anchor="_Toc14394" w:history="1">
            <w:r>
              <w:rPr>
                <w:rFonts w:ascii="仿宋" w:eastAsia="仿宋" w:hAnsi="仿宋" w:hint="eastAsia"/>
              </w:rPr>
              <w:t>十一、</w:t>
            </w:r>
            <w:r>
              <w:rPr>
                <w:rFonts w:ascii="仿宋" w:eastAsia="仿宋" w:hAnsi="仿宋" w:hint="eastAsia"/>
              </w:rPr>
              <w:t>政</w:t>
            </w:r>
            <w:r>
              <w:rPr>
                <w:rFonts w:ascii="仿宋" w:eastAsia="仿宋" w:hAnsi="仿宋" w:hint="eastAsia"/>
              </w:rPr>
              <w:t>府性基金预算财政拨款收入支出决算表</w:t>
            </w:r>
            <w:r>
              <w:tab/>
            </w:r>
            <w:r>
              <w:fldChar w:fldCharType="begin"/>
            </w:r>
            <w:r>
              <w:instrText xml:space="preserve"> PAGEREF _Toc14394 </w:instrText>
            </w:r>
            <w:r>
              <w:fldChar w:fldCharType="separate"/>
            </w:r>
            <w:r>
              <w:t>22</w:t>
            </w:r>
            <w:r>
              <w:fldChar w:fldCharType="end"/>
            </w:r>
          </w:hyperlink>
        </w:p>
        <w:p w:rsidR="00FD3477" w:rsidRDefault="00B3617E">
          <w:pPr>
            <w:pStyle w:val="WPSOffice2"/>
            <w:tabs>
              <w:tab w:val="right" w:leader="dot" w:pos="8306"/>
            </w:tabs>
            <w:ind w:left="420"/>
          </w:pPr>
          <w:hyperlink w:anchor="_Toc27370" w:history="1">
            <w:r>
              <w:rPr>
                <w:rFonts w:ascii="仿宋" w:eastAsia="仿宋" w:hAnsi="仿宋" w:hint="eastAsia"/>
              </w:rPr>
              <w:t>十二、</w:t>
            </w:r>
            <w:r>
              <w:rPr>
                <w:rFonts w:ascii="仿宋" w:eastAsia="仿宋" w:hAnsi="仿宋" w:hint="eastAsia"/>
              </w:rPr>
              <w:t>政</w:t>
            </w:r>
            <w:r>
              <w:rPr>
                <w:rFonts w:ascii="仿宋" w:eastAsia="仿宋" w:hAnsi="仿宋" w:hint="eastAsia"/>
              </w:rPr>
              <w:t>府性基金预算财政拨款“三公”经费支出决算表</w:t>
            </w:r>
            <w:r>
              <w:tab/>
            </w:r>
            <w:r>
              <w:fldChar w:fldCharType="begin"/>
            </w:r>
            <w:r>
              <w:instrText xml:space="preserve"> PAGEREF _Toc27370 </w:instrText>
            </w:r>
            <w:r>
              <w:fldChar w:fldCharType="separate"/>
            </w:r>
            <w:r>
              <w:t>22</w:t>
            </w:r>
            <w:r>
              <w:fldChar w:fldCharType="end"/>
            </w:r>
          </w:hyperlink>
        </w:p>
        <w:p w:rsidR="00FD3477" w:rsidRDefault="00B3617E">
          <w:pPr>
            <w:pStyle w:val="WPSOffice2"/>
            <w:tabs>
              <w:tab w:val="right" w:leader="dot" w:pos="8306"/>
            </w:tabs>
            <w:ind w:left="420"/>
          </w:pPr>
          <w:hyperlink w:anchor="_Toc25551" w:history="1">
            <w:r>
              <w:rPr>
                <w:rFonts w:ascii="仿宋" w:eastAsia="仿宋" w:hAnsi="仿宋" w:hint="eastAsia"/>
              </w:rPr>
              <w:t>十三、</w:t>
            </w:r>
            <w:r>
              <w:rPr>
                <w:rFonts w:ascii="仿宋" w:eastAsia="仿宋" w:hAnsi="仿宋" w:hint="eastAsia"/>
              </w:rPr>
              <w:t>国</w:t>
            </w:r>
            <w:r>
              <w:rPr>
                <w:rFonts w:ascii="仿宋" w:eastAsia="仿宋" w:hAnsi="仿宋" w:hint="eastAsia"/>
              </w:rPr>
              <w:t>有资本经营预算财政拨款收入支出决算表</w:t>
            </w:r>
            <w:r>
              <w:tab/>
            </w:r>
            <w:r>
              <w:fldChar w:fldCharType="begin"/>
            </w:r>
            <w:r>
              <w:instrText xml:space="preserve"> PAGEREF _Toc25551 </w:instrText>
            </w:r>
            <w:r>
              <w:fldChar w:fldCharType="separate"/>
            </w:r>
            <w:r>
              <w:t>22</w:t>
            </w:r>
            <w:r>
              <w:fldChar w:fldCharType="end"/>
            </w:r>
          </w:hyperlink>
        </w:p>
        <w:p w:rsidR="00FD3477" w:rsidRDefault="00B3617E">
          <w:pPr>
            <w:pStyle w:val="WPSOffice2"/>
            <w:tabs>
              <w:tab w:val="right" w:leader="dot" w:pos="8306"/>
            </w:tabs>
            <w:ind w:left="420"/>
          </w:pPr>
          <w:hyperlink w:anchor="_Toc28465" w:history="1">
            <w:r>
              <w:rPr>
                <w:rFonts w:ascii="仿宋" w:eastAsia="仿宋" w:hAnsi="仿宋" w:hint="eastAsia"/>
              </w:rPr>
              <w:t>十四、国有资本经营预算财政拨款支出决算表</w:t>
            </w:r>
            <w:r>
              <w:tab/>
            </w:r>
            <w:r>
              <w:fldChar w:fldCharType="begin"/>
            </w:r>
            <w:r>
              <w:instrText xml:space="preserve"> PAGEREF _Toc28465 </w:instrText>
            </w:r>
            <w:r>
              <w:fldChar w:fldCharType="separate"/>
            </w:r>
            <w:r>
              <w:t>22</w:t>
            </w:r>
            <w:r>
              <w:fldChar w:fldCharType="end"/>
            </w:r>
          </w:hyperlink>
        </w:p>
        <w:p w:rsidR="00FD3477" w:rsidRDefault="00B3617E">
          <w:r>
            <w:rPr>
              <w:b/>
            </w:rPr>
            <w:fldChar w:fldCharType="end"/>
          </w:r>
        </w:p>
      </w:sdtContent>
    </w:sdt>
    <w:p w:rsidR="00FD3477" w:rsidRDefault="00B3617E">
      <w:pPr>
        <w:pStyle w:val="1"/>
        <w:jc w:val="center"/>
        <w:rPr>
          <w:rStyle w:val="10"/>
          <w:rFonts w:ascii="黑体" w:eastAsia="黑体" w:hAnsi="黑体"/>
          <w:b/>
        </w:rPr>
      </w:pPr>
      <w:bookmarkStart w:id="16" w:name="_Toc20146"/>
      <w:r>
        <w:rPr>
          <w:rFonts w:ascii="黑体" w:eastAsia="黑体" w:hAnsi="黑体" w:hint="eastAsia"/>
          <w:b w:val="0"/>
        </w:rPr>
        <w:lastRenderedPageBreak/>
        <w:t>第一部分</w:t>
      </w:r>
      <w:r>
        <w:rPr>
          <w:rFonts w:ascii="黑体" w:eastAsia="黑体" w:hAnsi="黑体" w:hint="eastAsia"/>
          <w:b w:val="0"/>
        </w:rPr>
        <w:t xml:space="preserve"> </w:t>
      </w:r>
      <w:r>
        <w:rPr>
          <w:rFonts w:ascii="黑体" w:eastAsia="黑体" w:hAnsi="黑体" w:hint="eastAsia"/>
          <w:b w:val="0"/>
        </w:rPr>
        <w:t>单位</w:t>
      </w:r>
      <w:r>
        <w:rPr>
          <w:rStyle w:val="10"/>
          <w:rFonts w:ascii="黑体" w:eastAsia="黑体" w:hAnsi="黑体" w:hint="eastAsia"/>
        </w:rPr>
        <w:t>概况</w:t>
      </w:r>
      <w:bookmarkEnd w:id="15"/>
      <w:bookmarkEnd w:id="14"/>
      <w:bookmarkEnd w:id="16"/>
    </w:p>
    <w:p w:rsidR="00FD3477" w:rsidRDefault="00B3617E">
      <w:pPr>
        <w:pStyle w:val="2"/>
        <w:spacing w:before="0" w:after="0" w:line="560" w:lineRule="exact"/>
        <w:ind w:firstLineChars="200" w:firstLine="643"/>
        <w:rPr>
          <w:rStyle w:val="20"/>
          <w:rFonts w:ascii="黑体" w:eastAsia="黑体" w:hAnsi="黑体"/>
          <w:b/>
        </w:rPr>
      </w:pPr>
      <w:bookmarkStart w:id="17" w:name="_Toc4840"/>
      <w:bookmarkStart w:id="18" w:name="_Toc15396600"/>
      <w:bookmarkStart w:id="19" w:name="_Toc15377197"/>
      <w:r>
        <w:rPr>
          <w:rStyle w:val="20"/>
          <w:rFonts w:ascii="黑体" w:eastAsia="黑体" w:hAnsi="黑体" w:hint="eastAsia"/>
          <w:b/>
        </w:rPr>
        <w:t>一、</w:t>
      </w:r>
      <w:r>
        <w:rPr>
          <w:rStyle w:val="20"/>
          <w:rFonts w:ascii="黑体" w:eastAsia="黑体" w:hAnsi="黑体" w:hint="eastAsia"/>
          <w:b/>
        </w:rPr>
        <w:t>职能简介</w:t>
      </w:r>
      <w:bookmarkEnd w:id="17"/>
    </w:p>
    <w:p w:rsidR="00FD3477" w:rsidRDefault="00B3617E">
      <w:pPr>
        <w:pStyle w:val="ad"/>
        <w:snapToGrid w:val="0"/>
        <w:spacing w:line="560" w:lineRule="exact"/>
        <w:ind w:firstLine="640"/>
        <w:rPr>
          <w:rFonts w:ascii="仿宋" w:eastAsia="仿宋" w:hAnsi="仿宋"/>
          <w:sz w:val="32"/>
          <w:szCs w:val="32"/>
        </w:rPr>
      </w:pPr>
      <w:r>
        <w:rPr>
          <w:rFonts w:ascii="仿宋" w:eastAsia="仿宋" w:hAnsi="仿宋" w:hint="eastAsia"/>
          <w:sz w:val="32"/>
          <w:szCs w:val="32"/>
        </w:rPr>
        <w:t>我单位负责农作物种子质量监督管理及种子质量纠纷田间鉴定、农业植物新品种保护、各类农作物种子选育、引进、试验、示范、推广工作。</w:t>
      </w:r>
    </w:p>
    <w:p w:rsidR="00FD3477" w:rsidRDefault="00B3617E">
      <w:pPr>
        <w:pStyle w:val="2"/>
        <w:spacing w:before="0" w:after="0" w:line="560" w:lineRule="exact"/>
        <w:ind w:firstLineChars="200" w:firstLine="640"/>
        <w:rPr>
          <w:rFonts w:ascii="黑体" w:eastAsia="黑体" w:hAnsi="黑体"/>
          <w:b w:val="0"/>
        </w:rPr>
      </w:pPr>
      <w:bookmarkStart w:id="20" w:name="_Toc15448"/>
      <w:r>
        <w:rPr>
          <w:rFonts w:ascii="黑体" w:eastAsia="黑体" w:hAnsi="黑体" w:hint="eastAsia"/>
          <w:b w:val="0"/>
        </w:rPr>
        <w:t>二、</w:t>
      </w:r>
      <w:r>
        <w:rPr>
          <w:rFonts w:ascii="黑体" w:eastAsia="黑体" w:hAnsi="黑体" w:hint="eastAsia"/>
          <w:b w:val="0"/>
        </w:rPr>
        <w:t>2021</w:t>
      </w:r>
      <w:r>
        <w:rPr>
          <w:rFonts w:ascii="黑体" w:eastAsia="黑体" w:hAnsi="黑体" w:hint="eastAsia"/>
          <w:b w:val="0"/>
        </w:rPr>
        <w:t>年重点工作</w:t>
      </w:r>
      <w:bookmarkEnd w:id="18"/>
      <w:bookmarkEnd w:id="19"/>
      <w:r>
        <w:rPr>
          <w:rFonts w:ascii="黑体" w:eastAsia="黑体" w:hAnsi="黑体" w:hint="eastAsia"/>
          <w:b w:val="0"/>
        </w:rPr>
        <w:t>完成情况</w:t>
      </w:r>
      <w:bookmarkEnd w:id="20"/>
    </w:p>
    <w:p w:rsidR="00FD3477" w:rsidRDefault="00B3617E">
      <w:pPr>
        <w:snapToGrid w:val="0"/>
        <w:spacing w:line="560" w:lineRule="exact"/>
        <w:ind w:firstLineChars="200" w:firstLine="643"/>
        <w:rPr>
          <w:rFonts w:ascii="仿宋" w:eastAsia="仿宋" w:hAnsi="仿宋"/>
          <w:b/>
          <w:sz w:val="32"/>
          <w:szCs w:val="32"/>
        </w:rPr>
      </w:pPr>
      <w:r>
        <w:rPr>
          <w:rFonts w:ascii="仿宋" w:eastAsia="仿宋" w:hAnsi="仿宋" w:hint="eastAsia"/>
          <w:b/>
          <w:sz w:val="32"/>
          <w:szCs w:val="32"/>
        </w:rPr>
        <w:t>（一）在种子市场监管方面</w:t>
      </w:r>
    </w:p>
    <w:p w:rsidR="00FD3477" w:rsidRDefault="00B3617E">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w:t>
      </w:r>
      <w:r w:rsidR="007626F7" w:rsidRPr="007626F7">
        <w:rPr>
          <w:rFonts w:ascii="仿宋" w:eastAsia="仿宋" w:hAnsi="仿宋"/>
          <w:sz w:val="32"/>
          <w:szCs w:val="32"/>
          <w:u w:color="46CD7E"/>
        </w:rPr>
        <w:t>.</w:t>
      </w:r>
      <w:r>
        <w:rPr>
          <w:rFonts w:ascii="仿宋" w:eastAsia="仿宋" w:hAnsi="仿宋" w:hint="eastAsia"/>
          <w:sz w:val="32"/>
          <w:szCs w:val="32"/>
        </w:rPr>
        <w:t>开展专项监督检查。成立两个农作物种子市场专项检查组，按照</w:t>
      </w:r>
      <w:r w:rsidR="007626F7" w:rsidRPr="007626F7">
        <w:rPr>
          <w:rFonts w:ascii="仿宋" w:eastAsia="仿宋" w:hAnsi="仿宋" w:hint="eastAsia"/>
          <w:sz w:val="32"/>
          <w:szCs w:val="32"/>
          <w:u w:color="46CD7E"/>
        </w:rPr>
        <w:t>“双随机、</w:t>
      </w:r>
      <w:proofErr w:type="gramStart"/>
      <w:r w:rsidR="007626F7" w:rsidRPr="007626F7">
        <w:rPr>
          <w:rFonts w:ascii="仿宋" w:eastAsia="仿宋" w:hAnsi="仿宋" w:hint="eastAsia"/>
          <w:sz w:val="32"/>
          <w:szCs w:val="32"/>
          <w:u w:color="46CD7E"/>
        </w:rPr>
        <w:t>一</w:t>
      </w:r>
      <w:proofErr w:type="gramEnd"/>
      <w:r w:rsidR="007626F7" w:rsidRPr="007626F7">
        <w:rPr>
          <w:rFonts w:ascii="仿宋" w:eastAsia="仿宋" w:hAnsi="仿宋" w:hint="eastAsia"/>
          <w:sz w:val="32"/>
          <w:szCs w:val="32"/>
          <w:u w:color="46CD7E"/>
        </w:rPr>
        <w:t>公开”</w:t>
      </w:r>
      <w:r>
        <w:rPr>
          <w:rFonts w:ascii="仿宋" w:eastAsia="仿宋" w:hAnsi="仿宋" w:hint="eastAsia"/>
          <w:sz w:val="32"/>
          <w:szCs w:val="32"/>
        </w:rPr>
        <w:t>原则，对全县</w:t>
      </w:r>
      <w:r>
        <w:rPr>
          <w:rFonts w:ascii="仿宋" w:eastAsia="仿宋" w:hAnsi="仿宋" w:hint="eastAsia"/>
          <w:sz w:val="32"/>
          <w:szCs w:val="32"/>
        </w:rPr>
        <w:t>33</w:t>
      </w:r>
      <w:r>
        <w:rPr>
          <w:rFonts w:ascii="仿宋" w:eastAsia="仿宋" w:hAnsi="仿宋" w:hint="eastAsia"/>
          <w:sz w:val="32"/>
          <w:szCs w:val="32"/>
        </w:rPr>
        <w:t>个乡镇种子经营门店进行专项监督检查。重点检查生产经营许可证、品种真实性、包装标签标识、经营品种备案、经营档案、台账、品种审定及授权等情况。累计出动执法人员</w:t>
      </w:r>
      <w:r>
        <w:rPr>
          <w:rFonts w:ascii="仿宋" w:eastAsia="仿宋" w:hAnsi="仿宋"/>
          <w:sz w:val="32"/>
          <w:szCs w:val="32"/>
        </w:rPr>
        <w:t>215</w:t>
      </w:r>
      <w:r>
        <w:rPr>
          <w:rFonts w:ascii="仿宋" w:eastAsia="仿宋" w:hAnsi="仿宋" w:hint="eastAsia"/>
          <w:sz w:val="32"/>
          <w:szCs w:val="32"/>
        </w:rPr>
        <w:t>人次，车辆</w:t>
      </w:r>
      <w:r>
        <w:rPr>
          <w:rFonts w:ascii="仿宋" w:eastAsia="仿宋" w:hAnsi="仿宋"/>
          <w:sz w:val="32"/>
          <w:szCs w:val="32"/>
        </w:rPr>
        <w:t>61</w:t>
      </w:r>
      <w:r>
        <w:rPr>
          <w:rFonts w:ascii="仿宋" w:eastAsia="仿宋" w:hAnsi="仿宋" w:hint="eastAsia"/>
          <w:sz w:val="32"/>
          <w:szCs w:val="32"/>
        </w:rPr>
        <w:t>台次，检查县城种子经销代理商</w:t>
      </w:r>
      <w:r>
        <w:rPr>
          <w:rFonts w:ascii="仿宋" w:eastAsia="仿宋" w:hAnsi="仿宋" w:hint="eastAsia"/>
          <w:sz w:val="32"/>
          <w:szCs w:val="32"/>
        </w:rPr>
        <w:t>17</w:t>
      </w:r>
      <w:r>
        <w:rPr>
          <w:rFonts w:ascii="仿宋" w:eastAsia="仿宋" w:hAnsi="仿宋" w:hint="eastAsia"/>
          <w:sz w:val="32"/>
          <w:szCs w:val="32"/>
        </w:rPr>
        <w:t>家、乡镇种子经营门店</w:t>
      </w:r>
      <w:r>
        <w:rPr>
          <w:rFonts w:ascii="仿宋" w:eastAsia="仿宋" w:hAnsi="仿宋" w:hint="eastAsia"/>
          <w:sz w:val="32"/>
          <w:szCs w:val="32"/>
        </w:rPr>
        <w:t>193</w:t>
      </w:r>
      <w:r>
        <w:rPr>
          <w:rFonts w:ascii="仿宋" w:eastAsia="仿宋" w:hAnsi="仿宋" w:hint="eastAsia"/>
          <w:sz w:val="32"/>
          <w:szCs w:val="32"/>
        </w:rPr>
        <w:t>家、食用菌菌种生产经营企业</w:t>
      </w:r>
      <w:r>
        <w:rPr>
          <w:rFonts w:ascii="仿宋" w:eastAsia="仿宋" w:hAnsi="仿宋" w:hint="eastAsia"/>
          <w:sz w:val="32"/>
          <w:szCs w:val="32"/>
        </w:rPr>
        <w:t>9</w:t>
      </w:r>
      <w:r>
        <w:rPr>
          <w:rFonts w:ascii="仿宋" w:eastAsia="仿宋" w:hAnsi="仿宋" w:hint="eastAsia"/>
          <w:sz w:val="32"/>
          <w:szCs w:val="32"/>
        </w:rPr>
        <w:t>家，登记农作物品种</w:t>
      </w:r>
      <w:r>
        <w:rPr>
          <w:rFonts w:ascii="仿宋" w:eastAsia="仿宋" w:hAnsi="仿宋" w:hint="eastAsia"/>
          <w:sz w:val="32"/>
          <w:szCs w:val="32"/>
        </w:rPr>
        <w:t>222</w:t>
      </w:r>
      <w:r>
        <w:rPr>
          <w:rFonts w:ascii="仿宋" w:eastAsia="仿宋" w:hAnsi="仿宋" w:hint="eastAsia"/>
          <w:sz w:val="32"/>
          <w:szCs w:val="32"/>
        </w:rPr>
        <w:t>个（其中：水稻</w:t>
      </w:r>
      <w:r>
        <w:rPr>
          <w:rFonts w:ascii="仿宋" w:eastAsia="仿宋" w:hAnsi="仿宋" w:hint="eastAsia"/>
          <w:sz w:val="32"/>
          <w:szCs w:val="32"/>
        </w:rPr>
        <w:t>72</w:t>
      </w:r>
      <w:r>
        <w:rPr>
          <w:rFonts w:ascii="仿宋" w:eastAsia="仿宋" w:hAnsi="仿宋" w:hint="eastAsia"/>
          <w:sz w:val="32"/>
          <w:szCs w:val="32"/>
        </w:rPr>
        <w:t>个，玉米</w:t>
      </w:r>
      <w:r>
        <w:rPr>
          <w:rFonts w:ascii="仿宋" w:eastAsia="仿宋" w:hAnsi="仿宋" w:hint="eastAsia"/>
          <w:sz w:val="32"/>
          <w:szCs w:val="32"/>
        </w:rPr>
        <w:t>84</w:t>
      </w:r>
      <w:r>
        <w:rPr>
          <w:rFonts w:ascii="仿宋" w:eastAsia="仿宋" w:hAnsi="仿宋" w:hint="eastAsia"/>
          <w:sz w:val="32"/>
          <w:szCs w:val="32"/>
        </w:rPr>
        <w:t>个，油菜</w:t>
      </w:r>
      <w:r>
        <w:rPr>
          <w:rFonts w:ascii="仿宋" w:eastAsia="仿宋" w:hAnsi="仿宋" w:hint="eastAsia"/>
          <w:sz w:val="32"/>
          <w:szCs w:val="32"/>
        </w:rPr>
        <w:t>53</w:t>
      </w:r>
      <w:r>
        <w:rPr>
          <w:rFonts w:ascii="仿宋" w:eastAsia="仿宋" w:hAnsi="仿宋" w:hint="eastAsia"/>
          <w:sz w:val="32"/>
          <w:szCs w:val="32"/>
        </w:rPr>
        <w:t>个，蔬菜</w:t>
      </w:r>
      <w:r>
        <w:rPr>
          <w:rFonts w:ascii="仿宋" w:eastAsia="仿宋" w:hAnsi="仿宋" w:hint="eastAsia"/>
          <w:sz w:val="32"/>
          <w:szCs w:val="32"/>
        </w:rPr>
        <w:t>13</w:t>
      </w:r>
      <w:r>
        <w:rPr>
          <w:rFonts w:ascii="仿宋" w:eastAsia="仿宋" w:hAnsi="仿宋" w:hint="eastAsia"/>
          <w:sz w:val="32"/>
          <w:szCs w:val="32"/>
        </w:rPr>
        <w:t>个）。</w:t>
      </w:r>
    </w:p>
    <w:p w:rsidR="00FD3477" w:rsidRDefault="00B3617E">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w:t>
      </w:r>
      <w:r w:rsidR="007626F7" w:rsidRPr="007626F7">
        <w:rPr>
          <w:rFonts w:ascii="仿宋" w:eastAsia="仿宋" w:hAnsi="仿宋"/>
          <w:sz w:val="32"/>
          <w:szCs w:val="32"/>
          <w:u w:color="46CD7E"/>
        </w:rPr>
        <w:t>.</w:t>
      </w:r>
      <w:r>
        <w:rPr>
          <w:rFonts w:ascii="仿宋" w:eastAsia="仿宋" w:hAnsi="仿宋" w:hint="eastAsia"/>
          <w:sz w:val="32"/>
          <w:szCs w:val="32"/>
        </w:rPr>
        <w:t>强化种子备案工作。一是通过培训、发放宣传资料</w:t>
      </w:r>
      <w:r>
        <w:rPr>
          <w:rFonts w:ascii="仿宋" w:eastAsia="仿宋" w:hAnsi="仿宋" w:hint="eastAsia"/>
          <w:sz w:val="32"/>
          <w:szCs w:val="32"/>
        </w:rPr>
        <w:t>等方式，让全县每一个种子经营门店都了解种子备案重要性、掌握备案方法，做到种子经营人员了解备案、自觉备案、依法备案。二是以种子市场专项检查为契机，现场指导种子门店经营人员网上备案业务，对使用老年手机的、年龄偏大的人员进行现场协助备案，并对其亲属进行指导培训，确保应备</w:t>
      </w:r>
      <w:r w:rsidR="007626F7" w:rsidRPr="007626F7">
        <w:rPr>
          <w:rFonts w:ascii="仿宋" w:eastAsia="仿宋" w:hAnsi="仿宋" w:hint="eastAsia"/>
          <w:sz w:val="32"/>
          <w:szCs w:val="32"/>
          <w:u w:color="46CD7E"/>
        </w:rPr>
        <w:t>尽备</w:t>
      </w:r>
      <w:r>
        <w:rPr>
          <w:rFonts w:ascii="仿宋" w:eastAsia="仿宋" w:hAnsi="仿宋" w:hint="eastAsia"/>
          <w:sz w:val="32"/>
          <w:szCs w:val="32"/>
        </w:rPr>
        <w:t>，不缺一户不漏一家。通过阶段努力，全县完成用户</w:t>
      </w:r>
      <w:r>
        <w:rPr>
          <w:rFonts w:ascii="仿宋" w:eastAsia="仿宋" w:hAnsi="仿宋" w:hint="eastAsia"/>
          <w:sz w:val="32"/>
          <w:szCs w:val="32"/>
        </w:rPr>
        <w:lastRenderedPageBreak/>
        <w:t>系统注册备案</w:t>
      </w:r>
      <w:r>
        <w:rPr>
          <w:rFonts w:ascii="仿宋" w:eastAsia="仿宋" w:hAnsi="仿宋" w:hint="eastAsia"/>
          <w:sz w:val="32"/>
          <w:szCs w:val="32"/>
        </w:rPr>
        <w:t>222</w:t>
      </w:r>
      <w:r>
        <w:rPr>
          <w:rFonts w:ascii="仿宋" w:eastAsia="仿宋" w:hAnsi="仿宋" w:hint="eastAsia"/>
          <w:sz w:val="32"/>
          <w:szCs w:val="32"/>
        </w:rPr>
        <w:t>家（其中：委托代销种子备案</w:t>
      </w:r>
      <w:r>
        <w:rPr>
          <w:rFonts w:ascii="仿宋" w:eastAsia="仿宋" w:hAnsi="仿宋" w:hint="eastAsia"/>
          <w:sz w:val="32"/>
          <w:szCs w:val="32"/>
        </w:rPr>
        <w:t>12</w:t>
      </w:r>
      <w:r>
        <w:rPr>
          <w:rFonts w:ascii="仿宋" w:eastAsia="仿宋" w:hAnsi="仿宋" w:hint="eastAsia"/>
          <w:sz w:val="32"/>
          <w:szCs w:val="32"/>
        </w:rPr>
        <w:t>家，经营</w:t>
      </w:r>
      <w:proofErr w:type="gramStart"/>
      <w:r>
        <w:rPr>
          <w:rFonts w:ascii="仿宋" w:eastAsia="仿宋" w:hAnsi="仿宋" w:hint="eastAsia"/>
          <w:sz w:val="32"/>
          <w:szCs w:val="32"/>
        </w:rPr>
        <w:t>不</w:t>
      </w:r>
      <w:proofErr w:type="gramEnd"/>
      <w:r>
        <w:rPr>
          <w:rFonts w:ascii="仿宋" w:eastAsia="仿宋" w:hAnsi="仿宋" w:hint="eastAsia"/>
          <w:sz w:val="32"/>
          <w:szCs w:val="32"/>
        </w:rPr>
        <w:t>分装种子备案</w:t>
      </w:r>
      <w:r>
        <w:rPr>
          <w:rFonts w:ascii="仿宋" w:eastAsia="仿宋" w:hAnsi="仿宋" w:hint="eastAsia"/>
          <w:sz w:val="32"/>
          <w:szCs w:val="32"/>
        </w:rPr>
        <w:t>210</w:t>
      </w:r>
      <w:r>
        <w:rPr>
          <w:rFonts w:ascii="仿宋" w:eastAsia="仿宋" w:hAnsi="仿宋" w:hint="eastAsia"/>
          <w:sz w:val="32"/>
          <w:szCs w:val="32"/>
        </w:rPr>
        <w:t>家），备案品种</w:t>
      </w:r>
      <w:r>
        <w:rPr>
          <w:rFonts w:ascii="仿宋" w:eastAsia="仿宋" w:hAnsi="仿宋"/>
          <w:sz w:val="32"/>
          <w:szCs w:val="32"/>
        </w:rPr>
        <w:t>309</w:t>
      </w:r>
      <w:r>
        <w:rPr>
          <w:rFonts w:ascii="仿宋" w:eastAsia="仿宋" w:hAnsi="仿宋" w:hint="eastAsia"/>
          <w:sz w:val="32"/>
          <w:szCs w:val="32"/>
        </w:rPr>
        <w:t>个（其中：水稻</w:t>
      </w:r>
      <w:r>
        <w:rPr>
          <w:rFonts w:ascii="仿宋" w:eastAsia="仿宋" w:hAnsi="仿宋" w:hint="eastAsia"/>
          <w:sz w:val="32"/>
          <w:szCs w:val="32"/>
        </w:rPr>
        <w:t>124</w:t>
      </w:r>
      <w:r>
        <w:rPr>
          <w:rFonts w:ascii="仿宋" w:eastAsia="仿宋" w:hAnsi="仿宋" w:hint="eastAsia"/>
          <w:sz w:val="32"/>
          <w:szCs w:val="32"/>
        </w:rPr>
        <w:t>个、玉米</w:t>
      </w:r>
      <w:r>
        <w:rPr>
          <w:rFonts w:ascii="仿宋" w:eastAsia="仿宋" w:hAnsi="仿宋" w:hint="eastAsia"/>
          <w:sz w:val="32"/>
          <w:szCs w:val="32"/>
        </w:rPr>
        <w:t>154</w:t>
      </w:r>
      <w:r>
        <w:rPr>
          <w:rFonts w:ascii="仿宋" w:eastAsia="仿宋" w:hAnsi="仿宋" w:hint="eastAsia"/>
          <w:sz w:val="32"/>
          <w:szCs w:val="32"/>
        </w:rPr>
        <w:t>个、油菜</w:t>
      </w:r>
      <w:r>
        <w:rPr>
          <w:rFonts w:ascii="仿宋" w:eastAsia="仿宋" w:hAnsi="仿宋"/>
          <w:sz w:val="32"/>
          <w:szCs w:val="32"/>
        </w:rPr>
        <w:t>31</w:t>
      </w:r>
      <w:r>
        <w:rPr>
          <w:rFonts w:ascii="仿宋" w:eastAsia="仿宋" w:hAnsi="仿宋" w:hint="eastAsia"/>
          <w:sz w:val="32"/>
          <w:szCs w:val="32"/>
        </w:rPr>
        <w:t>个），备案率达</w:t>
      </w:r>
      <w:r>
        <w:rPr>
          <w:rFonts w:ascii="仿宋" w:eastAsia="仿宋" w:hAnsi="仿宋" w:hint="eastAsia"/>
          <w:sz w:val="32"/>
          <w:szCs w:val="32"/>
        </w:rPr>
        <w:t>100%</w:t>
      </w:r>
      <w:r>
        <w:rPr>
          <w:rFonts w:ascii="仿宋" w:eastAsia="仿宋" w:hAnsi="仿宋" w:hint="eastAsia"/>
          <w:sz w:val="32"/>
          <w:szCs w:val="32"/>
        </w:rPr>
        <w:t>。</w:t>
      </w:r>
    </w:p>
    <w:p w:rsidR="00FD3477" w:rsidRDefault="00B3617E">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3</w:t>
      </w:r>
      <w:r w:rsidR="007626F7" w:rsidRPr="007626F7">
        <w:rPr>
          <w:rFonts w:ascii="仿宋" w:eastAsia="仿宋" w:hAnsi="仿宋"/>
          <w:sz w:val="32"/>
          <w:szCs w:val="32"/>
          <w:u w:color="46CD7E"/>
        </w:rPr>
        <w:t>.</w:t>
      </w:r>
      <w:r>
        <w:rPr>
          <w:rFonts w:ascii="仿宋" w:eastAsia="仿宋" w:hAnsi="仿宋" w:hint="eastAsia"/>
          <w:sz w:val="32"/>
          <w:szCs w:val="32"/>
        </w:rPr>
        <w:t>严格种子质量抽检。为保障全</w:t>
      </w:r>
      <w:r>
        <w:rPr>
          <w:rFonts w:ascii="仿宋" w:eastAsia="仿宋" w:hAnsi="仿宋" w:hint="eastAsia"/>
          <w:sz w:val="32"/>
          <w:szCs w:val="32"/>
        </w:rPr>
        <w:t>县农业生产用种安全，对县级</w:t>
      </w:r>
      <w:r>
        <w:rPr>
          <w:rFonts w:ascii="仿宋" w:eastAsia="仿宋" w:hAnsi="仿宋" w:hint="eastAsia"/>
          <w:sz w:val="32"/>
          <w:szCs w:val="32"/>
        </w:rPr>
        <w:t>17</w:t>
      </w:r>
      <w:r>
        <w:rPr>
          <w:rFonts w:ascii="仿宋" w:eastAsia="仿宋" w:hAnsi="仿宋" w:hint="eastAsia"/>
          <w:sz w:val="32"/>
          <w:szCs w:val="32"/>
        </w:rPr>
        <w:t>家种子经营门店开展农作物种子监督抽检，随机抽取种子样品</w:t>
      </w:r>
      <w:r>
        <w:rPr>
          <w:rFonts w:ascii="仿宋" w:eastAsia="仿宋" w:hAnsi="仿宋" w:hint="eastAsia"/>
          <w:sz w:val="32"/>
          <w:szCs w:val="32"/>
        </w:rPr>
        <w:t>98</w:t>
      </w:r>
      <w:r>
        <w:rPr>
          <w:rFonts w:ascii="仿宋" w:eastAsia="仿宋" w:hAnsi="仿宋" w:hint="eastAsia"/>
          <w:sz w:val="32"/>
          <w:szCs w:val="32"/>
        </w:rPr>
        <w:t>个，其中水稻样品</w:t>
      </w:r>
      <w:r>
        <w:rPr>
          <w:rFonts w:ascii="仿宋" w:eastAsia="仿宋" w:hAnsi="仿宋" w:hint="eastAsia"/>
          <w:sz w:val="32"/>
          <w:szCs w:val="32"/>
        </w:rPr>
        <w:t>32</w:t>
      </w:r>
      <w:r>
        <w:rPr>
          <w:rFonts w:ascii="仿宋" w:eastAsia="仿宋" w:hAnsi="仿宋" w:hint="eastAsia"/>
          <w:sz w:val="32"/>
          <w:szCs w:val="32"/>
        </w:rPr>
        <w:t>个、玉米样品</w:t>
      </w:r>
      <w:r>
        <w:rPr>
          <w:rFonts w:ascii="仿宋" w:eastAsia="仿宋" w:hAnsi="仿宋" w:hint="eastAsia"/>
          <w:sz w:val="32"/>
          <w:szCs w:val="32"/>
        </w:rPr>
        <w:t>31</w:t>
      </w:r>
      <w:r>
        <w:rPr>
          <w:rFonts w:ascii="仿宋" w:eastAsia="仿宋" w:hAnsi="仿宋" w:hint="eastAsia"/>
          <w:sz w:val="32"/>
          <w:szCs w:val="32"/>
        </w:rPr>
        <w:t>个、蔬菜样品</w:t>
      </w:r>
      <w:r>
        <w:rPr>
          <w:rFonts w:ascii="仿宋" w:eastAsia="仿宋" w:hAnsi="仿宋" w:hint="eastAsia"/>
          <w:sz w:val="32"/>
          <w:szCs w:val="32"/>
        </w:rPr>
        <w:t>11</w:t>
      </w:r>
      <w:r>
        <w:rPr>
          <w:rFonts w:ascii="仿宋" w:eastAsia="仿宋" w:hAnsi="仿宋" w:hint="eastAsia"/>
          <w:sz w:val="32"/>
          <w:szCs w:val="32"/>
        </w:rPr>
        <w:t>个、油菜样品</w:t>
      </w:r>
      <w:r>
        <w:rPr>
          <w:rFonts w:ascii="仿宋" w:eastAsia="仿宋" w:hAnsi="仿宋" w:hint="eastAsia"/>
          <w:sz w:val="32"/>
          <w:szCs w:val="32"/>
        </w:rPr>
        <w:t>24</w:t>
      </w:r>
      <w:r>
        <w:rPr>
          <w:rFonts w:ascii="仿宋" w:eastAsia="仿宋" w:hAnsi="仿宋" w:hint="eastAsia"/>
          <w:sz w:val="32"/>
          <w:szCs w:val="32"/>
        </w:rPr>
        <w:t>个，代表数量</w:t>
      </w:r>
      <w:r>
        <w:rPr>
          <w:rFonts w:ascii="仿宋" w:eastAsia="仿宋" w:hAnsi="仿宋"/>
          <w:sz w:val="32"/>
          <w:szCs w:val="32"/>
        </w:rPr>
        <w:t>40</w:t>
      </w:r>
      <w:r>
        <w:rPr>
          <w:rFonts w:ascii="仿宋" w:eastAsia="仿宋" w:hAnsi="仿宋" w:hint="eastAsia"/>
          <w:sz w:val="32"/>
          <w:szCs w:val="32"/>
        </w:rPr>
        <w:t>余万公斤。我站严格按照室内检验程序的操作规程，对种子净度、水分、发芽率、转基因四项质量指标进行了检验检测，</w:t>
      </w:r>
      <w:r w:rsidR="007626F7" w:rsidRPr="007626F7">
        <w:rPr>
          <w:rFonts w:ascii="仿宋" w:eastAsia="仿宋" w:hAnsi="仿宋" w:hint="eastAsia"/>
          <w:sz w:val="32"/>
          <w:szCs w:val="32"/>
          <w:u w:color="46CD7E"/>
        </w:rPr>
        <w:t>出具</w:t>
      </w:r>
      <w:r>
        <w:rPr>
          <w:rFonts w:ascii="仿宋" w:eastAsia="仿宋" w:hAnsi="仿宋" w:hint="eastAsia"/>
          <w:sz w:val="32"/>
          <w:szCs w:val="32"/>
        </w:rPr>
        <w:t>种子质量监督检验报告</w:t>
      </w:r>
      <w:r>
        <w:rPr>
          <w:rFonts w:ascii="仿宋" w:eastAsia="仿宋" w:hAnsi="仿宋" w:hint="eastAsia"/>
          <w:sz w:val="32"/>
          <w:szCs w:val="32"/>
        </w:rPr>
        <w:t>98</w:t>
      </w:r>
      <w:r>
        <w:rPr>
          <w:rFonts w:ascii="仿宋" w:eastAsia="仿宋" w:hAnsi="仿宋" w:hint="eastAsia"/>
          <w:sz w:val="32"/>
          <w:szCs w:val="32"/>
        </w:rPr>
        <w:t>份，种子质量抽检合格率为</w:t>
      </w:r>
      <w:r>
        <w:rPr>
          <w:rFonts w:ascii="仿宋" w:eastAsia="仿宋" w:hAnsi="仿宋" w:hint="eastAsia"/>
          <w:sz w:val="32"/>
          <w:szCs w:val="32"/>
        </w:rPr>
        <w:t>100%</w:t>
      </w:r>
      <w:r>
        <w:rPr>
          <w:rFonts w:ascii="仿宋" w:eastAsia="仿宋" w:hAnsi="仿宋" w:hint="eastAsia"/>
          <w:sz w:val="32"/>
          <w:szCs w:val="32"/>
        </w:rPr>
        <w:t>。</w:t>
      </w:r>
    </w:p>
    <w:p w:rsidR="00FD3477" w:rsidRDefault="00B3617E">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4</w:t>
      </w:r>
      <w:r w:rsidR="007626F7" w:rsidRPr="007626F7">
        <w:rPr>
          <w:rFonts w:ascii="仿宋" w:eastAsia="仿宋" w:hAnsi="仿宋"/>
          <w:sz w:val="32"/>
          <w:szCs w:val="32"/>
          <w:u w:color="46CD7E"/>
        </w:rPr>
        <w:t>.</w:t>
      </w:r>
      <w:r>
        <w:rPr>
          <w:rFonts w:ascii="仿宋" w:eastAsia="仿宋" w:hAnsi="仿宋" w:hint="eastAsia"/>
          <w:sz w:val="32"/>
          <w:szCs w:val="32"/>
        </w:rPr>
        <w:t>加强行政许可管理。对申请领取农作物种子生产经营许可证的企业所提交的材料进行全面审查，并对申请人的办公场所和种子加工、检验、仓储等设施设备进行现场核查。按照“谁许可、谁</w:t>
      </w:r>
      <w:r>
        <w:rPr>
          <w:rFonts w:ascii="仿宋" w:eastAsia="仿宋" w:hAnsi="仿宋" w:hint="eastAsia"/>
          <w:sz w:val="32"/>
          <w:szCs w:val="32"/>
        </w:rPr>
        <w:t>监管”的要求，协同县农业执法大队和相关专业场站负责种子生产经营许可事中事后监管，对辖区内获证的种子生产经营企业开展定期和不定期的监督检查。重点检查其生产经营资质、种子生产经营档案、种子</w:t>
      </w:r>
      <w:proofErr w:type="gramStart"/>
      <w:r>
        <w:rPr>
          <w:rFonts w:ascii="仿宋" w:eastAsia="仿宋" w:hAnsi="仿宋" w:hint="eastAsia"/>
          <w:sz w:val="32"/>
          <w:szCs w:val="32"/>
        </w:rPr>
        <w:t>进销台账</w:t>
      </w:r>
      <w:proofErr w:type="gramEnd"/>
      <w:r>
        <w:rPr>
          <w:rFonts w:ascii="仿宋" w:eastAsia="仿宋" w:hAnsi="仿宋" w:hint="eastAsia"/>
          <w:sz w:val="32"/>
          <w:szCs w:val="32"/>
        </w:rPr>
        <w:t>档案、种子包装标识、仓储条件、生产经营所需设施设备、品种登记及品种授权情况、生产检验人员资质情况、生产环境、办公场地等。检查中发现存在违反《中华人民共和国种子法》</w:t>
      </w:r>
      <w:r>
        <w:rPr>
          <w:rFonts w:ascii="仿宋" w:eastAsia="仿宋" w:hAnsi="仿宋" w:hint="eastAsia"/>
          <w:sz w:val="32"/>
          <w:szCs w:val="32"/>
        </w:rPr>
        <w:t>《农作物种子标签和使用说明管理办法》及相关规范、规程规定的，责令其及时纠正，并依法依规予以处理。</w:t>
      </w:r>
    </w:p>
    <w:p w:rsidR="00FD3477" w:rsidRDefault="00B3617E">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5</w:t>
      </w:r>
      <w:r w:rsidR="007626F7" w:rsidRPr="007626F7">
        <w:rPr>
          <w:rFonts w:ascii="仿宋" w:eastAsia="仿宋" w:hAnsi="仿宋"/>
          <w:sz w:val="32"/>
          <w:szCs w:val="32"/>
          <w:u w:color="46CD7E"/>
        </w:rPr>
        <w:t>.</w:t>
      </w:r>
      <w:r>
        <w:rPr>
          <w:rFonts w:ascii="仿宋" w:eastAsia="仿宋" w:hAnsi="仿宋" w:hint="eastAsia"/>
          <w:sz w:val="32"/>
          <w:szCs w:val="32"/>
        </w:rPr>
        <w:t>科学处置染疫种子。</w:t>
      </w:r>
      <w:r w:rsidRPr="005E1D6A">
        <w:rPr>
          <w:rFonts w:ascii="仿宋" w:eastAsia="仿宋" w:hAnsi="仿宋" w:hint="eastAsia"/>
          <w:sz w:val="32"/>
          <w:szCs w:val="32"/>
          <w:u w:val="thick" w:color="909090"/>
          <w:shd w:val="clear" w:color="auto" w:fill="DDDDDD"/>
        </w:rPr>
        <w:t>根据《四川省农业农村厅关于切实加强四</w:t>
      </w:r>
      <w:r w:rsidRPr="005E1D6A">
        <w:rPr>
          <w:rFonts w:ascii="仿宋" w:eastAsia="仿宋" w:hAnsi="仿宋" w:hint="eastAsia"/>
          <w:sz w:val="32"/>
          <w:szCs w:val="32"/>
          <w:u w:val="thick" w:color="909090"/>
          <w:shd w:val="clear" w:color="auto" w:fill="DDDDDD"/>
        </w:rPr>
        <w:t>川台沃种业有限责任公司染疫水稻种子排查处置</w:t>
      </w:r>
      <w:r w:rsidRPr="005E1D6A">
        <w:rPr>
          <w:rFonts w:ascii="仿宋" w:eastAsia="仿宋" w:hAnsi="仿宋" w:hint="eastAsia"/>
          <w:sz w:val="32"/>
          <w:szCs w:val="32"/>
          <w:u w:val="thick" w:color="909090"/>
          <w:shd w:val="clear" w:color="auto" w:fill="DDDDDD"/>
        </w:rPr>
        <w:lastRenderedPageBreak/>
        <w:t>工作的紧急通知》（</w:t>
      </w:r>
      <w:r w:rsidRPr="005E1D6A">
        <w:rPr>
          <w:rFonts w:ascii="仿宋" w:eastAsia="仿宋" w:hAnsi="仿宋" w:hint="eastAsia"/>
          <w:sz w:val="32"/>
          <w:szCs w:val="32"/>
          <w:u w:val="thick" w:color="909090"/>
          <w:shd w:val="clear" w:color="auto" w:fill="DDDDDD"/>
        </w:rPr>
        <w:t>N</w:t>
      </w:r>
      <w:r w:rsidRPr="005E1D6A">
        <w:rPr>
          <w:rFonts w:ascii="仿宋" w:eastAsia="仿宋" w:hAnsi="仿宋" w:hint="eastAsia"/>
          <w:sz w:val="32"/>
          <w:szCs w:val="32"/>
          <w:u w:val="thick" w:color="909090"/>
          <w:shd w:val="clear" w:color="auto" w:fill="DDDDDD"/>
        </w:rPr>
        <w:t>〔</w:t>
      </w:r>
      <w:r w:rsidRPr="005E1D6A">
        <w:rPr>
          <w:rFonts w:ascii="仿宋" w:eastAsia="仿宋" w:hAnsi="仿宋" w:hint="eastAsia"/>
          <w:sz w:val="32"/>
          <w:szCs w:val="32"/>
          <w:u w:val="thick" w:color="909090"/>
          <w:shd w:val="clear" w:color="auto" w:fill="DDDDDD"/>
        </w:rPr>
        <w:t>2021</w:t>
      </w:r>
      <w:r w:rsidRPr="005E1D6A">
        <w:rPr>
          <w:rFonts w:ascii="仿宋" w:eastAsia="仿宋" w:hAnsi="仿宋" w:hint="eastAsia"/>
          <w:sz w:val="32"/>
          <w:szCs w:val="32"/>
          <w:u w:val="thick" w:color="909090"/>
          <w:shd w:val="clear" w:color="auto" w:fill="DDDDDD"/>
        </w:rPr>
        <w:t>〕—</w:t>
      </w:r>
      <w:r w:rsidRPr="005E1D6A">
        <w:rPr>
          <w:rFonts w:ascii="仿宋" w:eastAsia="仿宋" w:hAnsi="仿宋" w:hint="eastAsia"/>
          <w:sz w:val="32"/>
          <w:szCs w:val="32"/>
          <w:u w:val="thick" w:color="909090"/>
          <w:shd w:val="clear" w:color="auto" w:fill="DDDDDD"/>
        </w:rPr>
        <w:t>608</w:t>
      </w:r>
      <w:r w:rsidRPr="005E1D6A">
        <w:rPr>
          <w:rFonts w:ascii="仿宋" w:eastAsia="仿宋" w:hAnsi="仿宋" w:hint="eastAsia"/>
          <w:sz w:val="32"/>
          <w:szCs w:val="32"/>
          <w:u w:val="thick" w:color="909090"/>
          <w:shd w:val="clear" w:color="auto" w:fill="DDDDDD"/>
        </w:rPr>
        <w:t>号）、《巴中市农业农村局关于切实加强四川台沃种业有限责任公司染疫水稻种子排查处置工作的紧急通知》（</w:t>
      </w:r>
      <w:proofErr w:type="gramStart"/>
      <w:r w:rsidRPr="005E1D6A">
        <w:rPr>
          <w:rFonts w:ascii="仿宋" w:eastAsia="仿宋" w:hAnsi="仿宋" w:hint="eastAsia"/>
          <w:sz w:val="32"/>
          <w:szCs w:val="32"/>
          <w:u w:val="thick" w:color="909090"/>
          <w:shd w:val="clear" w:color="auto" w:fill="DDDDDD"/>
        </w:rPr>
        <w:t>巴农函</w:t>
      </w:r>
      <w:proofErr w:type="gramEnd"/>
      <w:r w:rsidRPr="005E1D6A">
        <w:rPr>
          <w:rFonts w:ascii="仿宋" w:eastAsia="仿宋" w:hAnsi="仿宋" w:hint="eastAsia"/>
          <w:sz w:val="32"/>
          <w:szCs w:val="32"/>
          <w:u w:val="thick" w:color="909090"/>
          <w:shd w:val="clear" w:color="auto" w:fill="DDDDDD"/>
        </w:rPr>
        <w:t>〔</w:t>
      </w:r>
      <w:r w:rsidRPr="005E1D6A">
        <w:rPr>
          <w:rFonts w:ascii="仿宋" w:eastAsia="仿宋" w:hAnsi="仿宋" w:hint="eastAsia"/>
          <w:sz w:val="32"/>
          <w:szCs w:val="32"/>
          <w:u w:val="thick" w:color="909090"/>
          <w:shd w:val="clear" w:color="auto" w:fill="DDDDDD"/>
        </w:rPr>
        <w:t>2021</w:t>
      </w:r>
      <w:r w:rsidRPr="005E1D6A">
        <w:rPr>
          <w:rFonts w:ascii="仿宋" w:eastAsia="仿宋" w:hAnsi="仿宋" w:hint="eastAsia"/>
          <w:sz w:val="32"/>
          <w:szCs w:val="32"/>
          <w:u w:val="thick" w:color="909090"/>
          <w:shd w:val="clear" w:color="auto" w:fill="DDDDDD"/>
        </w:rPr>
        <w:t>〕</w:t>
      </w:r>
      <w:r w:rsidRPr="005E1D6A">
        <w:rPr>
          <w:rFonts w:ascii="仿宋" w:eastAsia="仿宋" w:hAnsi="仿宋" w:hint="eastAsia"/>
          <w:sz w:val="32"/>
          <w:szCs w:val="32"/>
          <w:u w:val="thick" w:color="909090"/>
          <w:shd w:val="clear" w:color="auto" w:fill="DDDDDD"/>
        </w:rPr>
        <w:t>15</w:t>
      </w:r>
      <w:r w:rsidRPr="005E1D6A">
        <w:rPr>
          <w:rFonts w:ascii="仿宋" w:eastAsia="仿宋" w:hAnsi="仿宋" w:hint="eastAsia"/>
          <w:sz w:val="32"/>
          <w:szCs w:val="32"/>
          <w:u w:val="thick" w:color="909090"/>
          <w:shd w:val="clear" w:color="auto" w:fill="DDDDDD"/>
        </w:rPr>
        <w:t>号）文件要求，</w:t>
      </w:r>
      <w:r>
        <w:rPr>
          <w:rFonts w:ascii="仿宋" w:eastAsia="仿宋" w:hAnsi="仿宋" w:hint="eastAsia"/>
          <w:sz w:val="32"/>
          <w:szCs w:val="32"/>
        </w:rPr>
        <w:t>在县农业农村局统一领导下，与农业综合行政执法大队、植保站组成联合调查组，在全县范围内开展横向到边、纵向到底的彻底排查、召回、处置工作。共召回染疫水稻种子</w:t>
      </w:r>
      <w:r>
        <w:rPr>
          <w:rFonts w:ascii="仿宋" w:eastAsia="仿宋" w:hAnsi="仿宋" w:hint="eastAsia"/>
          <w:sz w:val="32"/>
          <w:szCs w:val="32"/>
        </w:rPr>
        <w:t>1207.5</w:t>
      </w:r>
      <w:r>
        <w:rPr>
          <w:rFonts w:ascii="仿宋" w:eastAsia="仿宋" w:hAnsi="仿宋" w:hint="eastAsia"/>
          <w:sz w:val="32"/>
          <w:szCs w:val="32"/>
        </w:rPr>
        <w:t>公斤，签订染疫种子经销承诺书</w:t>
      </w:r>
      <w:r>
        <w:rPr>
          <w:rFonts w:ascii="仿宋" w:eastAsia="仿宋" w:hAnsi="仿宋" w:hint="eastAsia"/>
          <w:sz w:val="32"/>
          <w:szCs w:val="32"/>
        </w:rPr>
        <w:t>168</w:t>
      </w:r>
      <w:r>
        <w:rPr>
          <w:rFonts w:ascii="仿宋" w:eastAsia="仿宋" w:hAnsi="仿宋" w:hint="eastAsia"/>
          <w:sz w:val="32"/>
          <w:szCs w:val="32"/>
        </w:rPr>
        <w:t>份，有力阻止了病菌扩散蔓延，为我县粮食安全生产挽回了重大损失。</w:t>
      </w:r>
    </w:p>
    <w:p w:rsidR="00FD3477" w:rsidRDefault="00B3617E">
      <w:pPr>
        <w:snapToGrid w:val="0"/>
        <w:spacing w:line="520" w:lineRule="exact"/>
        <w:ind w:firstLineChars="200" w:firstLine="643"/>
        <w:rPr>
          <w:rFonts w:ascii="仿宋" w:eastAsia="仿宋" w:hAnsi="仿宋"/>
          <w:b/>
          <w:sz w:val="32"/>
          <w:szCs w:val="32"/>
        </w:rPr>
      </w:pPr>
      <w:r>
        <w:rPr>
          <w:rFonts w:ascii="仿宋" w:eastAsia="仿宋" w:hAnsi="仿宋" w:hint="eastAsia"/>
          <w:b/>
          <w:sz w:val="32"/>
          <w:szCs w:val="32"/>
        </w:rPr>
        <w:t>（二）种子区试方面</w:t>
      </w:r>
    </w:p>
    <w:p w:rsidR="00FD3477" w:rsidRDefault="00B3617E">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按省农业农村厅</w:t>
      </w:r>
      <w:r>
        <w:rPr>
          <w:rFonts w:ascii="仿宋" w:eastAsia="仿宋" w:hAnsi="仿宋" w:hint="eastAsia"/>
          <w:sz w:val="32"/>
          <w:szCs w:val="32"/>
        </w:rPr>
        <w:t>的统一安排，我站承担了省玉米山区组区域、</w:t>
      </w:r>
      <w:proofErr w:type="gramStart"/>
      <w:r>
        <w:rPr>
          <w:rFonts w:ascii="仿宋" w:eastAsia="仿宋" w:hAnsi="仿宋" w:hint="eastAsia"/>
          <w:sz w:val="32"/>
          <w:szCs w:val="32"/>
        </w:rPr>
        <w:t>品试试验</w:t>
      </w:r>
      <w:proofErr w:type="gramEnd"/>
      <w:r>
        <w:rPr>
          <w:rFonts w:ascii="仿宋" w:eastAsia="仿宋" w:hAnsi="仿宋" w:hint="eastAsia"/>
          <w:sz w:val="32"/>
          <w:szCs w:val="32"/>
        </w:rPr>
        <w:t>示范工作，其中：区试</w:t>
      </w:r>
      <w:r>
        <w:rPr>
          <w:rFonts w:ascii="仿宋" w:eastAsia="仿宋" w:hAnsi="仿宋" w:hint="eastAsia"/>
          <w:sz w:val="32"/>
          <w:szCs w:val="32"/>
        </w:rPr>
        <w:t>3</w:t>
      </w:r>
      <w:r>
        <w:rPr>
          <w:rFonts w:ascii="仿宋" w:eastAsia="仿宋" w:hAnsi="仿宋" w:hint="eastAsia"/>
          <w:sz w:val="32"/>
          <w:szCs w:val="32"/>
        </w:rPr>
        <w:t>组共</w:t>
      </w:r>
      <w:r>
        <w:rPr>
          <w:rFonts w:ascii="仿宋" w:eastAsia="仿宋" w:hAnsi="仿宋" w:hint="eastAsia"/>
          <w:sz w:val="32"/>
          <w:szCs w:val="32"/>
        </w:rPr>
        <w:t>27</w:t>
      </w:r>
      <w:r>
        <w:rPr>
          <w:rFonts w:ascii="仿宋" w:eastAsia="仿宋" w:hAnsi="仿宋" w:hint="eastAsia"/>
          <w:sz w:val="32"/>
          <w:szCs w:val="32"/>
        </w:rPr>
        <w:t>个品种、</w:t>
      </w:r>
      <w:proofErr w:type="gramStart"/>
      <w:r>
        <w:rPr>
          <w:rFonts w:ascii="仿宋" w:eastAsia="仿宋" w:hAnsi="仿宋" w:hint="eastAsia"/>
          <w:sz w:val="32"/>
          <w:szCs w:val="32"/>
        </w:rPr>
        <w:t>品试</w:t>
      </w:r>
      <w:r>
        <w:rPr>
          <w:rFonts w:ascii="仿宋" w:eastAsia="仿宋" w:hAnsi="仿宋" w:hint="eastAsia"/>
          <w:sz w:val="32"/>
          <w:szCs w:val="32"/>
        </w:rPr>
        <w:t>1</w:t>
      </w:r>
      <w:r>
        <w:rPr>
          <w:rFonts w:ascii="仿宋" w:eastAsia="仿宋" w:hAnsi="仿宋" w:hint="eastAsia"/>
          <w:sz w:val="32"/>
          <w:szCs w:val="32"/>
        </w:rPr>
        <w:t>组</w:t>
      </w:r>
      <w:proofErr w:type="gramEnd"/>
      <w:r>
        <w:rPr>
          <w:rFonts w:ascii="仿宋" w:eastAsia="仿宋" w:hAnsi="仿宋" w:hint="eastAsia"/>
          <w:sz w:val="32"/>
          <w:szCs w:val="32"/>
        </w:rPr>
        <w:t>共</w:t>
      </w:r>
      <w:r>
        <w:rPr>
          <w:rFonts w:ascii="仿宋" w:eastAsia="仿宋" w:hAnsi="仿宋" w:hint="eastAsia"/>
          <w:sz w:val="32"/>
          <w:szCs w:val="32"/>
        </w:rPr>
        <w:t>41</w:t>
      </w:r>
      <w:r>
        <w:rPr>
          <w:rFonts w:ascii="仿宋" w:eastAsia="仿宋" w:hAnsi="仿宋" w:hint="eastAsia"/>
          <w:sz w:val="32"/>
          <w:szCs w:val="32"/>
        </w:rPr>
        <w:t>个品种。为保证玉米新品种区域试验的科学性、客观性及严谨性，我们严格按照省种子站制定的实施方案进行玉米小区的规划、播种、施肥、育苗、观察和测量、记载和报告，圆满完成了</w:t>
      </w:r>
      <w:r>
        <w:rPr>
          <w:rFonts w:ascii="仿宋" w:eastAsia="仿宋" w:hAnsi="仿宋" w:hint="eastAsia"/>
          <w:sz w:val="32"/>
          <w:szCs w:val="32"/>
        </w:rPr>
        <w:t>2021</w:t>
      </w:r>
      <w:r>
        <w:rPr>
          <w:rFonts w:ascii="仿宋" w:eastAsia="仿宋" w:hAnsi="仿宋" w:hint="eastAsia"/>
          <w:sz w:val="32"/>
          <w:szCs w:val="32"/>
        </w:rPr>
        <w:t>年度玉米试验示范工作，为我县玉米新品种的有序引进及应用推广提供了有力的科学依据。</w:t>
      </w:r>
    </w:p>
    <w:p w:rsidR="00FD3477" w:rsidRDefault="00B3617E">
      <w:pPr>
        <w:snapToGrid w:val="0"/>
        <w:spacing w:line="520" w:lineRule="exact"/>
        <w:ind w:firstLineChars="200" w:firstLine="643"/>
        <w:rPr>
          <w:rFonts w:ascii="仿宋" w:eastAsia="仿宋" w:hAnsi="仿宋"/>
          <w:b/>
          <w:sz w:val="32"/>
          <w:szCs w:val="32"/>
        </w:rPr>
      </w:pPr>
      <w:r>
        <w:rPr>
          <w:rFonts w:ascii="仿宋" w:eastAsia="仿宋" w:hAnsi="仿宋" w:hint="eastAsia"/>
          <w:b/>
          <w:sz w:val="32"/>
          <w:szCs w:val="32"/>
        </w:rPr>
        <w:t>（三）助力</w:t>
      </w:r>
      <w:proofErr w:type="gramStart"/>
      <w:r>
        <w:rPr>
          <w:rFonts w:ascii="仿宋" w:eastAsia="仿宋" w:hAnsi="仿宋" w:hint="eastAsia"/>
          <w:b/>
          <w:sz w:val="32"/>
          <w:szCs w:val="32"/>
        </w:rPr>
        <w:t>粮食扩面增产</w:t>
      </w:r>
      <w:proofErr w:type="gramEnd"/>
      <w:r>
        <w:rPr>
          <w:rFonts w:ascii="仿宋" w:eastAsia="仿宋" w:hAnsi="仿宋" w:hint="eastAsia"/>
          <w:b/>
          <w:sz w:val="32"/>
          <w:szCs w:val="32"/>
        </w:rPr>
        <w:t>方面</w:t>
      </w:r>
    </w:p>
    <w:p w:rsidR="00FD3477" w:rsidRDefault="00B3617E">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在县农业农村局的统一安排下，我站成立撂荒地专项整治工作小组，</w:t>
      </w:r>
      <w:proofErr w:type="gramStart"/>
      <w:r>
        <w:rPr>
          <w:rFonts w:ascii="仿宋" w:eastAsia="仿宋" w:hAnsi="仿宋" w:hint="eastAsia"/>
          <w:sz w:val="32"/>
          <w:szCs w:val="32"/>
        </w:rPr>
        <w:t>深入杨</w:t>
      </w:r>
      <w:proofErr w:type="gramEnd"/>
      <w:r>
        <w:rPr>
          <w:rFonts w:ascii="仿宋" w:eastAsia="仿宋" w:hAnsi="仿宋" w:hint="eastAsia"/>
          <w:sz w:val="32"/>
          <w:szCs w:val="32"/>
        </w:rPr>
        <w:t>柏镇、民胜镇田间地头，查看耕地撂荒情况，与村委协商撂荒地整治措施</w:t>
      </w:r>
      <w:r>
        <w:rPr>
          <w:rFonts w:ascii="仿宋" w:eastAsia="仿宋" w:hAnsi="仿宋" w:hint="eastAsia"/>
          <w:sz w:val="32"/>
          <w:szCs w:val="32"/>
        </w:rPr>
        <w:t>，并严格督促落实。在今年</w:t>
      </w:r>
      <w:r>
        <w:rPr>
          <w:rFonts w:ascii="仿宋" w:eastAsia="仿宋" w:hAnsi="仿宋" w:hint="eastAsia"/>
          <w:sz w:val="32"/>
          <w:szCs w:val="32"/>
        </w:rPr>
        <w:t>3</w:t>
      </w:r>
      <w:r>
        <w:rPr>
          <w:rFonts w:ascii="仿宋" w:eastAsia="仿宋" w:hAnsi="仿宋" w:hint="eastAsia"/>
          <w:sz w:val="32"/>
          <w:szCs w:val="32"/>
        </w:rPr>
        <w:t>月的全县春耕生产流动现场会上获得好评。同时，农技人员亲临春耕生产现场，指导整地、垒厢、盖膜等，根据地力及种植作物的生长特点，给出科学施肥配方，讲解播种、移栽等注意事项，叮嘱农民做好后期肥水管理，为我县粮食</w:t>
      </w:r>
      <w:r>
        <w:rPr>
          <w:rFonts w:ascii="仿宋" w:eastAsia="仿宋" w:hAnsi="仿宋" w:hint="eastAsia"/>
          <w:sz w:val="32"/>
          <w:szCs w:val="32"/>
        </w:rPr>
        <w:lastRenderedPageBreak/>
        <w:t>安全生产打下坚实基础。</w:t>
      </w:r>
    </w:p>
    <w:p w:rsidR="00FD3477" w:rsidRDefault="00B3617E">
      <w:pPr>
        <w:snapToGrid w:val="0"/>
        <w:spacing w:line="520" w:lineRule="exact"/>
        <w:ind w:firstLineChars="200" w:firstLine="643"/>
        <w:rPr>
          <w:rFonts w:ascii="仿宋" w:eastAsia="仿宋" w:hAnsi="仿宋"/>
          <w:b/>
          <w:sz w:val="32"/>
          <w:szCs w:val="32"/>
        </w:rPr>
      </w:pPr>
      <w:r>
        <w:rPr>
          <w:rFonts w:ascii="仿宋" w:eastAsia="仿宋" w:hAnsi="仿宋" w:hint="eastAsia"/>
          <w:b/>
          <w:sz w:val="32"/>
          <w:szCs w:val="32"/>
        </w:rPr>
        <w:t>（四）普法宣传力度方面</w:t>
      </w:r>
    </w:p>
    <w:p w:rsidR="00FD3477" w:rsidRDefault="00B3617E">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一是利用媒体、微信、</w:t>
      </w:r>
      <w:r>
        <w:rPr>
          <w:rFonts w:ascii="仿宋" w:eastAsia="仿宋" w:hAnsi="仿宋" w:hint="eastAsia"/>
          <w:sz w:val="32"/>
          <w:szCs w:val="32"/>
        </w:rPr>
        <w:t>QQ</w:t>
      </w:r>
      <w:r>
        <w:rPr>
          <w:rFonts w:ascii="仿宋" w:eastAsia="仿宋" w:hAnsi="仿宋" w:hint="eastAsia"/>
          <w:sz w:val="32"/>
          <w:szCs w:val="32"/>
        </w:rPr>
        <w:t>等平台，发布种子监督管理、执法动态及购种选种信息。二是以种子市场检查为抓手，通过发放宣传资料、现场答疑等方式，向种子经销商宣讲《</w:t>
      </w:r>
      <w:r w:rsidR="007626F7" w:rsidRPr="007626F7">
        <w:rPr>
          <w:rFonts w:ascii="仿宋" w:eastAsia="仿宋" w:hAnsi="仿宋" w:hint="eastAsia"/>
          <w:sz w:val="32"/>
          <w:szCs w:val="32"/>
          <w:u w:color="46CD7E"/>
        </w:rPr>
        <w:t>中华人民共和国种子法</w:t>
      </w:r>
      <w:r>
        <w:rPr>
          <w:rFonts w:ascii="仿宋" w:eastAsia="仿宋" w:hAnsi="仿宋" w:hint="eastAsia"/>
          <w:sz w:val="32"/>
          <w:szCs w:val="32"/>
        </w:rPr>
        <w:t>》等相关法律法规知识，给农民群众发放《购种须知》宣传资料，共计发放资料</w:t>
      </w:r>
      <w:r>
        <w:rPr>
          <w:rFonts w:ascii="仿宋" w:eastAsia="仿宋" w:hAnsi="仿宋"/>
          <w:sz w:val="32"/>
          <w:szCs w:val="32"/>
        </w:rPr>
        <w:t>1.5</w:t>
      </w:r>
      <w:r>
        <w:rPr>
          <w:rFonts w:ascii="仿宋" w:eastAsia="仿宋" w:hAnsi="仿宋" w:hint="eastAsia"/>
          <w:sz w:val="32"/>
          <w:szCs w:val="32"/>
        </w:rPr>
        <w:t>万余份。三是结合党史学习教育“我为群众讲党史”活动，对市场经营主体进行《</w:t>
      </w:r>
      <w:r w:rsidR="007626F7" w:rsidRPr="007626F7">
        <w:rPr>
          <w:rFonts w:ascii="仿宋" w:eastAsia="仿宋" w:hAnsi="仿宋" w:hint="eastAsia"/>
          <w:sz w:val="32"/>
          <w:szCs w:val="32"/>
          <w:u w:color="46CD7E"/>
        </w:rPr>
        <w:t>中华人民共和国种子法</w:t>
      </w:r>
      <w:r>
        <w:rPr>
          <w:rFonts w:ascii="仿宋" w:eastAsia="仿宋" w:hAnsi="仿宋" w:hint="eastAsia"/>
          <w:sz w:val="32"/>
          <w:szCs w:val="32"/>
        </w:rPr>
        <w:t>》及相关法律法规培训，并就</w:t>
      </w:r>
      <w:proofErr w:type="gramStart"/>
      <w:r>
        <w:rPr>
          <w:rFonts w:ascii="仿宋" w:eastAsia="仿宋" w:hAnsi="仿宋" w:hint="eastAsia"/>
          <w:sz w:val="32"/>
          <w:szCs w:val="32"/>
        </w:rPr>
        <w:t>种业通</w:t>
      </w:r>
      <w:proofErr w:type="gramEnd"/>
      <w:r>
        <w:rPr>
          <w:rFonts w:ascii="仿宋" w:eastAsia="仿宋" w:hAnsi="仿宋" w:hint="eastAsia"/>
          <w:sz w:val="32"/>
          <w:szCs w:val="32"/>
        </w:rPr>
        <w:t>APP</w:t>
      </w:r>
      <w:r>
        <w:rPr>
          <w:rFonts w:ascii="仿宋" w:eastAsia="仿宋" w:hAnsi="仿宋" w:hint="eastAsia"/>
          <w:sz w:val="32"/>
          <w:szCs w:val="32"/>
        </w:rPr>
        <w:t>备案流程进行现场指导。通过上述途径，切实增强了种子经销商诚信经营及合法经营意识，提高了老百姓科学选种购种、辨假识假及维权能力。</w:t>
      </w:r>
    </w:p>
    <w:p w:rsidR="00FD3477" w:rsidRDefault="00B3617E">
      <w:pPr>
        <w:snapToGrid w:val="0"/>
        <w:spacing w:line="520" w:lineRule="exact"/>
        <w:ind w:firstLineChars="200" w:firstLine="643"/>
        <w:rPr>
          <w:rFonts w:ascii="仿宋" w:eastAsia="仿宋" w:hAnsi="仿宋"/>
          <w:b/>
          <w:sz w:val="32"/>
          <w:szCs w:val="32"/>
        </w:rPr>
      </w:pPr>
      <w:r>
        <w:rPr>
          <w:rFonts w:ascii="仿宋" w:eastAsia="仿宋" w:hAnsi="仿宋" w:hint="eastAsia"/>
          <w:b/>
          <w:sz w:val="32"/>
          <w:szCs w:val="32"/>
        </w:rPr>
        <w:t>（五）调处矛盾纠纷方面</w:t>
      </w:r>
    </w:p>
    <w:p w:rsidR="00FD3477" w:rsidRDefault="00B3617E">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严格按照《中华人民共和国种子法》《中华人民共和国消费者权益保护法》</w:t>
      </w:r>
      <w:r>
        <w:rPr>
          <w:rFonts w:ascii="仿宋" w:eastAsia="仿宋" w:hAnsi="仿宋" w:hint="eastAsia"/>
          <w:sz w:val="32"/>
          <w:szCs w:val="32"/>
        </w:rPr>
        <w:t>《种子质量事故处理办法》等法律法规规定，本着科学、严谨的态度，坚持公平、公正的原则，认真做好群众举报、投诉、来信、来访及种子质量纠纷的接待处理工作。对</w:t>
      </w:r>
      <w:r w:rsidR="007626F7" w:rsidRPr="007626F7">
        <w:rPr>
          <w:rFonts w:ascii="仿宋" w:eastAsia="仿宋" w:hAnsi="仿宋" w:hint="eastAsia"/>
          <w:sz w:val="32"/>
          <w:szCs w:val="32"/>
          <w:u w:color="46CD7E"/>
        </w:rPr>
        <w:t>涉及</w:t>
      </w:r>
      <w:r>
        <w:rPr>
          <w:rFonts w:ascii="仿宋" w:eastAsia="仿宋" w:hAnsi="仿宋" w:hint="eastAsia"/>
          <w:sz w:val="32"/>
          <w:szCs w:val="32"/>
        </w:rPr>
        <w:t>种子质量的问题，实地调查、耐心讲解、科学处理。对非种子质量的问题，帮助投诉人分析问题产生原因，提出解决问题的有效办法，及时化解矛盾纠纷，维护社会和谐稳定。一年来，共处理信访问题</w:t>
      </w:r>
      <w:r>
        <w:rPr>
          <w:rFonts w:ascii="仿宋" w:eastAsia="仿宋" w:hAnsi="仿宋" w:hint="eastAsia"/>
          <w:sz w:val="32"/>
          <w:szCs w:val="32"/>
        </w:rPr>
        <w:t>10</w:t>
      </w:r>
      <w:r>
        <w:rPr>
          <w:rFonts w:ascii="仿宋" w:eastAsia="仿宋" w:hAnsi="仿宋" w:hint="eastAsia"/>
          <w:sz w:val="32"/>
          <w:szCs w:val="32"/>
        </w:rPr>
        <w:t>起，矛盾纠纷调解成功率达</w:t>
      </w:r>
      <w:r>
        <w:rPr>
          <w:rFonts w:ascii="仿宋" w:eastAsia="仿宋" w:hAnsi="仿宋" w:hint="eastAsia"/>
          <w:sz w:val="32"/>
          <w:szCs w:val="32"/>
        </w:rPr>
        <w:t>100%</w:t>
      </w:r>
      <w:r>
        <w:rPr>
          <w:rFonts w:ascii="仿宋" w:eastAsia="仿宋" w:hAnsi="仿宋" w:hint="eastAsia"/>
          <w:sz w:val="32"/>
          <w:szCs w:val="32"/>
        </w:rPr>
        <w:t>。</w:t>
      </w:r>
    </w:p>
    <w:p w:rsidR="00FD3477" w:rsidRDefault="00B3617E">
      <w:pPr>
        <w:snapToGrid w:val="0"/>
        <w:spacing w:line="520" w:lineRule="exact"/>
        <w:ind w:firstLineChars="200" w:firstLine="643"/>
        <w:rPr>
          <w:rFonts w:ascii="仿宋" w:eastAsia="仿宋" w:hAnsi="仿宋"/>
          <w:b/>
          <w:sz w:val="32"/>
          <w:szCs w:val="32"/>
        </w:rPr>
      </w:pPr>
      <w:r>
        <w:rPr>
          <w:rFonts w:ascii="仿宋" w:eastAsia="仿宋" w:hAnsi="仿宋" w:hint="eastAsia"/>
          <w:b/>
          <w:sz w:val="32"/>
          <w:szCs w:val="32"/>
        </w:rPr>
        <w:t>（六）种质资源保护方面</w:t>
      </w:r>
    </w:p>
    <w:p w:rsidR="00FD3477" w:rsidRDefault="00B3617E">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为打好种业翻身仗，根据《关于开展全省农业种质资源普</w:t>
      </w:r>
      <w:r>
        <w:rPr>
          <w:rFonts w:ascii="仿宋" w:eastAsia="仿宋" w:hAnsi="仿宋" w:hint="eastAsia"/>
          <w:sz w:val="32"/>
          <w:szCs w:val="32"/>
        </w:rPr>
        <w:t>查的通知》（川农发〔</w:t>
      </w:r>
      <w:r>
        <w:rPr>
          <w:rFonts w:ascii="仿宋" w:eastAsia="仿宋" w:hAnsi="仿宋" w:hint="eastAsia"/>
          <w:sz w:val="32"/>
          <w:szCs w:val="32"/>
        </w:rPr>
        <w:t>2021</w:t>
      </w:r>
      <w:r>
        <w:rPr>
          <w:rFonts w:ascii="仿宋" w:eastAsia="仿宋" w:hAnsi="仿宋" w:hint="eastAsia"/>
          <w:sz w:val="32"/>
          <w:szCs w:val="32"/>
        </w:rPr>
        <w:t>〕</w:t>
      </w:r>
      <w:r>
        <w:rPr>
          <w:rFonts w:ascii="仿宋" w:eastAsia="仿宋" w:hAnsi="仿宋" w:hint="eastAsia"/>
          <w:sz w:val="32"/>
          <w:szCs w:val="32"/>
        </w:rPr>
        <w:t>113</w:t>
      </w:r>
      <w:r>
        <w:rPr>
          <w:rFonts w:ascii="仿宋" w:eastAsia="仿宋" w:hAnsi="仿宋" w:hint="eastAsia"/>
          <w:sz w:val="32"/>
          <w:szCs w:val="32"/>
        </w:rPr>
        <w:t>号）要求，我站成立了农</w:t>
      </w:r>
      <w:r>
        <w:rPr>
          <w:rFonts w:ascii="仿宋" w:eastAsia="仿宋" w:hAnsi="仿宋" w:hint="eastAsia"/>
          <w:sz w:val="32"/>
          <w:szCs w:val="32"/>
        </w:rPr>
        <w:lastRenderedPageBreak/>
        <w:t>作物种质资源普查与收集工作领导小组。</w:t>
      </w:r>
      <w:r>
        <w:rPr>
          <w:rFonts w:ascii="仿宋" w:eastAsia="仿宋" w:hAnsi="仿宋" w:hint="eastAsia"/>
          <w:sz w:val="32"/>
          <w:szCs w:val="32"/>
        </w:rPr>
        <w:t>2018</w:t>
      </w:r>
      <w:r>
        <w:rPr>
          <w:rFonts w:ascii="仿宋" w:eastAsia="仿宋" w:hAnsi="仿宋" w:hint="eastAsia"/>
          <w:sz w:val="32"/>
          <w:szCs w:val="32"/>
        </w:rPr>
        <w:t>年—</w:t>
      </w:r>
      <w:r>
        <w:rPr>
          <w:rFonts w:ascii="仿宋" w:eastAsia="仿宋" w:hAnsi="仿宋" w:hint="eastAsia"/>
          <w:sz w:val="32"/>
          <w:szCs w:val="32"/>
        </w:rPr>
        <w:t>2021</w:t>
      </w:r>
      <w:r>
        <w:rPr>
          <w:rFonts w:ascii="仿宋" w:eastAsia="仿宋" w:hAnsi="仿宋" w:hint="eastAsia"/>
          <w:sz w:val="32"/>
          <w:szCs w:val="32"/>
        </w:rPr>
        <w:t>年以来，工作小组先后深入空山镇、</w:t>
      </w:r>
      <w:proofErr w:type="gramStart"/>
      <w:r>
        <w:rPr>
          <w:rFonts w:ascii="仿宋" w:eastAsia="仿宋" w:hAnsi="仿宋" w:hint="eastAsia"/>
          <w:sz w:val="32"/>
          <w:szCs w:val="32"/>
        </w:rPr>
        <w:t>毛浴镇、诺水</w:t>
      </w:r>
      <w:proofErr w:type="gramEnd"/>
      <w:r>
        <w:rPr>
          <w:rFonts w:ascii="仿宋" w:eastAsia="仿宋" w:hAnsi="仿宋" w:hint="eastAsia"/>
          <w:sz w:val="32"/>
          <w:szCs w:val="32"/>
        </w:rPr>
        <w:t>河镇等</w:t>
      </w:r>
      <w:r>
        <w:rPr>
          <w:rFonts w:ascii="仿宋" w:eastAsia="仿宋" w:hAnsi="仿宋" w:hint="eastAsia"/>
          <w:sz w:val="32"/>
          <w:szCs w:val="32"/>
        </w:rPr>
        <w:t>49</w:t>
      </w:r>
      <w:r>
        <w:rPr>
          <w:rFonts w:ascii="仿宋" w:eastAsia="仿宋" w:hAnsi="仿宋" w:hint="eastAsia"/>
          <w:sz w:val="32"/>
          <w:szCs w:val="32"/>
        </w:rPr>
        <w:t>个乡镇，通过询问、实地考察等途径调查当地的特色种质资源，征集到本地名特稀、濒危、野生、优质农作物种质资源</w:t>
      </w:r>
      <w:r>
        <w:rPr>
          <w:rFonts w:ascii="仿宋" w:eastAsia="仿宋" w:hAnsi="仿宋" w:hint="eastAsia"/>
          <w:sz w:val="32"/>
          <w:szCs w:val="32"/>
        </w:rPr>
        <w:t>62</w:t>
      </w:r>
      <w:r>
        <w:rPr>
          <w:rFonts w:ascii="仿宋" w:eastAsia="仿宋" w:hAnsi="仿宋" w:hint="eastAsia"/>
          <w:sz w:val="32"/>
          <w:szCs w:val="32"/>
        </w:rPr>
        <w:t>个，其中野生资源</w:t>
      </w:r>
      <w:r>
        <w:rPr>
          <w:rFonts w:ascii="仿宋" w:eastAsia="仿宋" w:hAnsi="仿宋" w:hint="eastAsia"/>
          <w:sz w:val="32"/>
          <w:szCs w:val="32"/>
        </w:rPr>
        <w:t>18</w:t>
      </w:r>
      <w:r>
        <w:rPr>
          <w:rFonts w:ascii="仿宋" w:eastAsia="仿宋" w:hAnsi="仿宋" w:hint="eastAsia"/>
          <w:sz w:val="32"/>
          <w:szCs w:val="32"/>
        </w:rPr>
        <w:t>个，地方名优特老品种</w:t>
      </w:r>
      <w:r>
        <w:rPr>
          <w:rFonts w:ascii="仿宋" w:eastAsia="仿宋" w:hAnsi="仿宋" w:hint="eastAsia"/>
          <w:sz w:val="32"/>
          <w:szCs w:val="32"/>
        </w:rPr>
        <w:t>32</w:t>
      </w:r>
      <w:r>
        <w:rPr>
          <w:rFonts w:ascii="仿宋" w:eastAsia="仿宋" w:hAnsi="仿宋" w:hint="eastAsia"/>
          <w:sz w:val="32"/>
          <w:szCs w:val="32"/>
        </w:rPr>
        <w:t>个，地方选育品种</w:t>
      </w:r>
      <w:r>
        <w:rPr>
          <w:rFonts w:ascii="仿宋" w:eastAsia="仿宋" w:hAnsi="仿宋" w:hint="eastAsia"/>
          <w:sz w:val="32"/>
          <w:szCs w:val="32"/>
        </w:rPr>
        <w:t>12</w:t>
      </w:r>
      <w:r>
        <w:rPr>
          <w:rFonts w:ascii="仿宋" w:eastAsia="仿宋" w:hAnsi="仿宋" w:hint="eastAsia"/>
          <w:sz w:val="32"/>
          <w:szCs w:val="32"/>
        </w:rPr>
        <w:t>个。包括粮食作物</w:t>
      </w:r>
      <w:r>
        <w:rPr>
          <w:rFonts w:ascii="仿宋" w:eastAsia="仿宋" w:hAnsi="仿宋" w:hint="eastAsia"/>
          <w:sz w:val="32"/>
          <w:szCs w:val="32"/>
        </w:rPr>
        <w:t>29</w:t>
      </w:r>
      <w:r>
        <w:rPr>
          <w:rFonts w:ascii="仿宋" w:eastAsia="仿宋" w:hAnsi="仿宋" w:hint="eastAsia"/>
          <w:sz w:val="32"/>
          <w:szCs w:val="32"/>
        </w:rPr>
        <w:t>个</w:t>
      </w:r>
      <w:r w:rsidRPr="007626F7">
        <w:rPr>
          <w:rFonts w:ascii="仿宋" w:eastAsia="仿宋" w:hAnsi="仿宋" w:hint="eastAsia"/>
          <w:sz w:val="32"/>
          <w:szCs w:val="32"/>
          <w:u w:color="909090"/>
        </w:rPr>
        <w:t>（</w:t>
      </w:r>
      <w:r>
        <w:rPr>
          <w:rFonts w:ascii="仿宋" w:eastAsia="仿宋" w:hAnsi="仿宋" w:hint="eastAsia"/>
          <w:sz w:val="32"/>
          <w:szCs w:val="32"/>
        </w:rPr>
        <w:t>稻</w:t>
      </w:r>
      <w:r>
        <w:rPr>
          <w:rFonts w:ascii="仿宋" w:eastAsia="仿宋" w:hAnsi="仿宋" w:hint="eastAsia"/>
          <w:sz w:val="32"/>
          <w:szCs w:val="32"/>
        </w:rPr>
        <w:t>4</w:t>
      </w:r>
      <w:r>
        <w:rPr>
          <w:rFonts w:ascii="仿宋" w:eastAsia="仿宋" w:hAnsi="仿宋" w:hint="eastAsia"/>
          <w:sz w:val="32"/>
          <w:szCs w:val="32"/>
        </w:rPr>
        <w:t>个，玉米</w:t>
      </w:r>
      <w:r>
        <w:rPr>
          <w:rFonts w:ascii="仿宋" w:eastAsia="仿宋" w:hAnsi="仿宋" w:hint="eastAsia"/>
          <w:sz w:val="32"/>
          <w:szCs w:val="32"/>
        </w:rPr>
        <w:t>3</w:t>
      </w:r>
      <w:r>
        <w:rPr>
          <w:rFonts w:ascii="仿宋" w:eastAsia="仿宋" w:hAnsi="仿宋" w:hint="eastAsia"/>
          <w:sz w:val="32"/>
          <w:szCs w:val="32"/>
        </w:rPr>
        <w:t>个，马铃薯</w:t>
      </w:r>
      <w:r>
        <w:rPr>
          <w:rFonts w:ascii="仿宋" w:eastAsia="仿宋" w:hAnsi="仿宋" w:hint="eastAsia"/>
          <w:sz w:val="32"/>
          <w:szCs w:val="32"/>
        </w:rPr>
        <w:t>5</w:t>
      </w:r>
      <w:r>
        <w:rPr>
          <w:rFonts w:ascii="仿宋" w:eastAsia="仿宋" w:hAnsi="仿宋" w:hint="eastAsia"/>
          <w:sz w:val="32"/>
          <w:szCs w:val="32"/>
        </w:rPr>
        <w:t>个，豆类</w:t>
      </w:r>
      <w:r>
        <w:rPr>
          <w:rFonts w:ascii="仿宋" w:eastAsia="仿宋" w:hAnsi="仿宋" w:hint="eastAsia"/>
          <w:sz w:val="32"/>
          <w:szCs w:val="32"/>
        </w:rPr>
        <w:t>9</w:t>
      </w:r>
      <w:r>
        <w:rPr>
          <w:rFonts w:ascii="仿宋" w:eastAsia="仿宋" w:hAnsi="仿宋" w:hint="eastAsia"/>
          <w:sz w:val="32"/>
          <w:szCs w:val="32"/>
        </w:rPr>
        <w:t>个，苦荞燕麦</w:t>
      </w:r>
      <w:r>
        <w:rPr>
          <w:rFonts w:ascii="仿宋" w:eastAsia="仿宋" w:hAnsi="仿宋" w:hint="eastAsia"/>
          <w:sz w:val="32"/>
          <w:szCs w:val="32"/>
        </w:rPr>
        <w:t>4</w:t>
      </w:r>
      <w:r>
        <w:rPr>
          <w:rFonts w:ascii="仿宋" w:eastAsia="仿宋" w:hAnsi="仿宋" w:hint="eastAsia"/>
          <w:sz w:val="32"/>
          <w:szCs w:val="32"/>
        </w:rPr>
        <w:t>个，</w:t>
      </w:r>
      <w:r w:rsidR="007626F7" w:rsidRPr="007626F7">
        <w:rPr>
          <w:rFonts w:ascii="仿宋" w:eastAsia="仿宋" w:hAnsi="仿宋" w:hint="eastAsia"/>
          <w:sz w:val="32"/>
          <w:szCs w:val="32"/>
          <w:u w:color="46CD7E"/>
        </w:rPr>
        <w:t>高粱</w:t>
      </w:r>
      <w:r>
        <w:rPr>
          <w:rFonts w:ascii="仿宋" w:eastAsia="仿宋" w:hAnsi="仿宋" w:hint="eastAsia"/>
          <w:sz w:val="32"/>
          <w:szCs w:val="32"/>
        </w:rPr>
        <w:t>2</w:t>
      </w:r>
      <w:r>
        <w:rPr>
          <w:rFonts w:ascii="仿宋" w:eastAsia="仿宋" w:hAnsi="仿宋" w:hint="eastAsia"/>
          <w:sz w:val="32"/>
          <w:szCs w:val="32"/>
        </w:rPr>
        <w:t>个</w:t>
      </w:r>
      <w:r w:rsidR="007626F7">
        <w:rPr>
          <w:rFonts w:ascii="仿宋" w:eastAsia="仿宋" w:hAnsi="仿宋"/>
          <w:sz w:val="32"/>
          <w:szCs w:val="32"/>
        </w:rPr>
        <w:t>）</w:t>
      </w:r>
      <w:r>
        <w:rPr>
          <w:rFonts w:ascii="仿宋" w:eastAsia="仿宋" w:hAnsi="仿宋" w:hint="eastAsia"/>
          <w:sz w:val="32"/>
          <w:szCs w:val="32"/>
        </w:rPr>
        <w:t>；油类</w:t>
      </w:r>
      <w:r>
        <w:rPr>
          <w:rFonts w:ascii="仿宋" w:eastAsia="仿宋" w:hAnsi="仿宋" w:hint="eastAsia"/>
          <w:sz w:val="32"/>
          <w:szCs w:val="32"/>
        </w:rPr>
        <w:t>2</w:t>
      </w:r>
      <w:r>
        <w:rPr>
          <w:rFonts w:ascii="仿宋" w:eastAsia="仿宋" w:hAnsi="仿宋" w:hint="eastAsia"/>
          <w:sz w:val="32"/>
          <w:szCs w:val="32"/>
        </w:rPr>
        <w:t>个（油菜</w:t>
      </w:r>
      <w:r>
        <w:rPr>
          <w:rFonts w:ascii="仿宋" w:eastAsia="仿宋" w:hAnsi="仿宋" w:hint="eastAsia"/>
          <w:sz w:val="32"/>
          <w:szCs w:val="32"/>
        </w:rPr>
        <w:t>2</w:t>
      </w:r>
      <w:r>
        <w:rPr>
          <w:rFonts w:ascii="仿宋" w:eastAsia="仿宋" w:hAnsi="仿宋" w:hint="eastAsia"/>
          <w:sz w:val="32"/>
          <w:szCs w:val="32"/>
        </w:rPr>
        <w:t>个），经济作物</w:t>
      </w:r>
      <w:r>
        <w:rPr>
          <w:rFonts w:ascii="仿宋" w:eastAsia="仿宋" w:hAnsi="仿宋" w:hint="eastAsia"/>
          <w:sz w:val="32"/>
          <w:szCs w:val="32"/>
        </w:rPr>
        <w:t>33</w:t>
      </w:r>
      <w:r>
        <w:rPr>
          <w:rFonts w:ascii="仿宋" w:eastAsia="仿宋" w:hAnsi="仿宋" w:hint="eastAsia"/>
          <w:sz w:val="32"/>
          <w:szCs w:val="32"/>
        </w:rPr>
        <w:t>个（蔬菜类</w:t>
      </w:r>
      <w:r>
        <w:rPr>
          <w:rFonts w:ascii="仿宋" w:eastAsia="仿宋" w:hAnsi="仿宋" w:hint="eastAsia"/>
          <w:sz w:val="32"/>
          <w:szCs w:val="32"/>
        </w:rPr>
        <w:t>13</w:t>
      </w:r>
      <w:r>
        <w:rPr>
          <w:rFonts w:ascii="仿宋" w:eastAsia="仿宋" w:hAnsi="仿宋" w:hint="eastAsia"/>
          <w:sz w:val="32"/>
          <w:szCs w:val="32"/>
        </w:rPr>
        <w:t>个；果类</w:t>
      </w:r>
      <w:r>
        <w:rPr>
          <w:rFonts w:ascii="仿宋" w:eastAsia="仿宋" w:hAnsi="仿宋" w:hint="eastAsia"/>
          <w:sz w:val="32"/>
          <w:szCs w:val="32"/>
        </w:rPr>
        <w:t>13</w:t>
      </w:r>
      <w:r>
        <w:rPr>
          <w:rFonts w:ascii="仿宋" w:eastAsia="仿宋" w:hAnsi="仿宋" w:hint="eastAsia"/>
          <w:sz w:val="32"/>
          <w:szCs w:val="32"/>
        </w:rPr>
        <w:t>个；茶</w:t>
      </w:r>
      <w:r>
        <w:rPr>
          <w:rFonts w:ascii="仿宋" w:eastAsia="仿宋" w:hAnsi="仿宋" w:hint="eastAsia"/>
          <w:sz w:val="32"/>
          <w:szCs w:val="32"/>
        </w:rPr>
        <w:t>5</w:t>
      </w:r>
      <w:r>
        <w:rPr>
          <w:rFonts w:ascii="仿宋" w:eastAsia="仿宋" w:hAnsi="仿宋" w:hint="eastAsia"/>
          <w:sz w:val="32"/>
          <w:szCs w:val="32"/>
        </w:rPr>
        <w:t>个；麻</w:t>
      </w:r>
      <w:r>
        <w:rPr>
          <w:rFonts w:ascii="仿宋" w:eastAsia="仿宋" w:hAnsi="仿宋" w:hint="eastAsia"/>
          <w:sz w:val="32"/>
          <w:szCs w:val="32"/>
        </w:rPr>
        <w:t>1</w:t>
      </w:r>
      <w:r>
        <w:rPr>
          <w:rFonts w:ascii="仿宋" w:eastAsia="仿宋" w:hAnsi="仿宋" w:hint="eastAsia"/>
          <w:sz w:val="32"/>
          <w:szCs w:val="32"/>
        </w:rPr>
        <w:t>个；烟叶</w:t>
      </w:r>
      <w:r>
        <w:rPr>
          <w:rFonts w:ascii="仿宋" w:eastAsia="仿宋" w:hAnsi="仿宋" w:hint="eastAsia"/>
          <w:sz w:val="32"/>
          <w:szCs w:val="32"/>
        </w:rPr>
        <w:t>1</w:t>
      </w:r>
      <w:r>
        <w:rPr>
          <w:rFonts w:ascii="仿宋" w:eastAsia="仿宋" w:hAnsi="仿宋" w:hint="eastAsia"/>
          <w:sz w:val="32"/>
          <w:szCs w:val="32"/>
        </w:rPr>
        <w:t>个）。目前，通过整理资料，已填写完成种质资源普查表</w:t>
      </w:r>
      <w:r>
        <w:rPr>
          <w:rFonts w:ascii="仿宋" w:eastAsia="仿宋" w:hAnsi="仿宋" w:hint="eastAsia"/>
          <w:sz w:val="32"/>
          <w:szCs w:val="32"/>
        </w:rPr>
        <w:t>62</w:t>
      </w:r>
      <w:r>
        <w:rPr>
          <w:rFonts w:ascii="仿宋" w:eastAsia="仿宋" w:hAnsi="仿宋" w:hint="eastAsia"/>
          <w:sz w:val="32"/>
          <w:szCs w:val="32"/>
        </w:rPr>
        <w:t>份，提交征集表</w:t>
      </w:r>
      <w:r>
        <w:rPr>
          <w:rFonts w:ascii="仿宋" w:eastAsia="仿宋" w:hAnsi="仿宋" w:hint="eastAsia"/>
          <w:sz w:val="32"/>
          <w:szCs w:val="32"/>
        </w:rPr>
        <w:t>62</w:t>
      </w:r>
      <w:r>
        <w:rPr>
          <w:rFonts w:ascii="仿宋" w:eastAsia="仿宋" w:hAnsi="仿宋" w:hint="eastAsia"/>
          <w:sz w:val="32"/>
          <w:szCs w:val="32"/>
        </w:rPr>
        <w:t>份，做到应收尽收，完成率达</w:t>
      </w:r>
      <w:r>
        <w:rPr>
          <w:rFonts w:ascii="仿宋" w:eastAsia="仿宋" w:hAnsi="仿宋" w:hint="eastAsia"/>
          <w:sz w:val="32"/>
          <w:szCs w:val="32"/>
        </w:rPr>
        <w:t>100%</w:t>
      </w:r>
      <w:r>
        <w:rPr>
          <w:rFonts w:ascii="仿宋" w:eastAsia="仿宋" w:hAnsi="仿宋" w:hint="eastAsia"/>
          <w:sz w:val="32"/>
          <w:szCs w:val="32"/>
        </w:rPr>
        <w:t>。</w:t>
      </w:r>
    </w:p>
    <w:p w:rsidR="00FD3477" w:rsidRDefault="00B3617E">
      <w:pPr>
        <w:snapToGrid w:val="0"/>
        <w:spacing w:line="520" w:lineRule="exact"/>
        <w:ind w:firstLineChars="200" w:firstLine="643"/>
        <w:rPr>
          <w:rFonts w:ascii="仿宋" w:eastAsia="仿宋" w:hAnsi="仿宋"/>
          <w:b/>
          <w:sz w:val="32"/>
          <w:szCs w:val="32"/>
        </w:rPr>
      </w:pPr>
      <w:r>
        <w:rPr>
          <w:rFonts w:ascii="仿宋" w:eastAsia="仿宋" w:hAnsi="仿宋" w:hint="eastAsia"/>
          <w:b/>
          <w:sz w:val="32"/>
          <w:szCs w:val="32"/>
        </w:rPr>
        <w:t>（七）巩固脱贫攻坚成果方面</w:t>
      </w:r>
    </w:p>
    <w:p w:rsidR="00FD3477" w:rsidRDefault="00B3617E">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一是全面落实“四个不摘”。严格落实“四个不摘”要求，坚持现有的各项帮扶措施不动摇，保持帮扶工作力度不减，按照缺什么补什么的原则，更加注重分类施策、补短板强弱项，帮助进一步夯实发展基础，持续巩固提升脱贫攻坚成果。今年以来，已组织帮扶责任人开展入户走访</w:t>
      </w:r>
      <w:r>
        <w:rPr>
          <w:rFonts w:ascii="仿宋" w:eastAsia="仿宋" w:hAnsi="仿宋"/>
          <w:sz w:val="32"/>
          <w:szCs w:val="32"/>
        </w:rPr>
        <w:t>30</w:t>
      </w:r>
      <w:r>
        <w:rPr>
          <w:rFonts w:ascii="仿宋" w:eastAsia="仿宋" w:hAnsi="仿宋" w:hint="eastAsia"/>
          <w:sz w:val="32"/>
          <w:szCs w:val="32"/>
        </w:rPr>
        <w:t>次、慰问</w:t>
      </w:r>
      <w:r>
        <w:rPr>
          <w:rFonts w:ascii="仿宋" w:eastAsia="仿宋" w:hAnsi="仿宋"/>
          <w:sz w:val="32"/>
          <w:szCs w:val="32"/>
        </w:rPr>
        <w:t>4</w:t>
      </w:r>
      <w:r>
        <w:rPr>
          <w:rFonts w:ascii="仿宋" w:eastAsia="仿宋" w:hAnsi="仿宋" w:hint="eastAsia"/>
          <w:sz w:val="32"/>
          <w:szCs w:val="32"/>
        </w:rPr>
        <w:t>次。二是扎实开展排查工作。紧盯已脱贫的建档立</w:t>
      </w:r>
      <w:proofErr w:type="gramStart"/>
      <w:r>
        <w:rPr>
          <w:rFonts w:ascii="仿宋" w:eastAsia="仿宋" w:hAnsi="仿宋" w:hint="eastAsia"/>
          <w:sz w:val="32"/>
          <w:szCs w:val="32"/>
        </w:rPr>
        <w:t>卡贫困</w:t>
      </w:r>
      <w:proofErr w:type="gramEnd"/>
      <w:r>
        <w:rPr>
          <w:rFonts w:ascii="仿宋" w:eastAsia="仿宋" w:hAnsi="仿宋" w:hint="eastAsia"/>
          <w:sz w:val="32"/>
          <w:szCs w:val="32"/>
        </w:rPr>
        <w:t>人口，先后组织帮扶责任人逐户开展防止返贫动态监测大排查和“大</w:t>
      </w:r>
      <w:r>
        <w:rPr>
          <w:rFonts w:ascii="仿宋" w:eastAsia="仿宋" w:hAnsi="仿宋" w:hint="eastAsia"/>
          <w:sz w:val="32"/>
          <w:szCs w:val="32"/>
        </w:rPr>
        <w:t>走访、大排查、大帮扶”活动，做到有问题及时发现、快速响应、动态清零。全面对照巩固脱贫攻坚成果“回头看”省级抽查反馈问题，引以为戒，举一反三，及时补差补短，避免出现类似问题。三是集中开展帮扶工作。我站统一组织帮扶干部集中入户开展为期一周的全覆盖集中</w:t>
      </w:r>
      <w:r>
        <w:rPr>
          <w:rFonts w:ascii="仿宋" w:eastAsia="仿宋" w:hAnsi="仿宋" w:hint="eastAsia"/>
          <w:sz w:val="32"/>
          <w:szCs w:val="32"/>
        </w:rPr>
        <w:lastRenderedPageBreak/>
        <w:t>帮扶工作，与帮扶户拉家常谈发展，做好环境卫生整治，进行安全教育宣传，了解群众需求，迅速对标补短，提高群众满意度，做好后评估准备工作。</w:t>
      </w:r>
    </w:p>
    <w:p w:rsidR="00FD3477" w:rsidRDefault="00B3617E">
      <w:pPr>
        <w:snapToGrid w:val="0"/>
        <w:spacing w:line="520" w:lineRule="exact"/>
        <w:ind w:firstLineChars="200" w:firstLine="643"/>
        <w:rPr>
          <w:rFonts w:ascii="仿宋" w:eastAsia="仿宋" w:hAnsi="仿宋"/>
          <w:b/>
          <w:sz w:val="32"/>
          <w:szCs w:val="32"/>
        </w:rPr>
      </w:pPr>
      <w:r>
        <w:rPr>
          <w:rFonts w:ascii="仿宋" w:eastAsia="仿宋" w:hAnsi="仿宋" w:hint="eastAsia"/>
          <w:b/>
          <w:sz w:val="32"/>
          <w:szCs w:val="32"/>
        </w:rPr>
        <w:t>（八）防控新冠疫情方面</w:t>
      </w:r>
    </w:p>
    <w:p w:rsidR="00FD3477" w:rsidRDefault="00B3617E">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准确把握疫情防控阶段性变化，紧绷预防之弦，因势调整工作着力点和应对举措。成立新冠疫情防控领导小组，通过宣传各</w:t>
      </w:r>
      <w:r>
        <w:rPr>
          <w:rFonts w:ascii="仿宋" w:eastAsia="仿宋" w:hAnsi="仿宋" w:hint="eastAsia"/>
          <w:sz w:val="32"/>
          <w:szCs w:val="32"/>
        </w:rPr>
        <w:t>类疫情防控知识，教育引导职工掌握疫情防护基本要点，增强防护意识，落实防护要求。对办公室及公共区域进行全面消毒，清理乱堆乱放、垃圾死角等区域环境卫生问题。督促职工、责任区域人员及帮扶贫困户申领“天府健康码”、完成新冠疫苗接种。及时掌握职工流动情况和身体状况，严格落实“日报告、零报告”制度，确保有</w:t>
      </w:r>
      <w:r w:rsidR="007626F7" w:rsidRPr="007626F7">
        <w:rPr>
          <w:rFonts w:ascii="仿宋" w:eastAsia="仿宋" w:hAnsi="仿宋" w:hint="eastAsia"/>
          <w:sz w:val="32"/>
          <w:szCs w:val="32"/>
          <w:u w:color="46CD7E"/>
        </w:rPr>
        <w:t>疫情早发现</w:t>
      </w:r>
      <w:r>
        <w:rPr>
          <w:rFonts w:ascii="仿宋" w:eastAsia="仿宋" w:hAnsi="仿宋" w:hint="eastAsia"/>
          <w:sz w:val="32"/>
          <w:szCs w:val="32"/>
        </w:rPr>
        <w:t>、早报告。</w:t>
      </w:r>
    </w:p>
    <w:p w:rsidR="00FD3477" w:rsidRDefault="00B3617E">
      <w:pPr>
        <w:snapToGrid w:val="0"/>
        <w:spacing w:line="520" w:lineRule="exact"/>
        <w:ind w:firstLineChars="200" w:firstLine="643"/>
        <w:rPr>
          <w:rFonts w:ascii="仿宋" w:eastAsia="仿宋" w:hAnsi="仿宋"/>
          <w:b/>
          <w:sz w:val="32"/>
          <w:szCs w:val="32"/>
        </w:rPr>
      </w:pPr>
      <w:r>
        <w:rPr>
          <w:rFonts w:ascii="仿宋" w:eastAsia="仿宋" w:hAnsi="仿宋" w:hint="eastAsia"/>
          <w:b/>
          <w:sz w:val="32"/>
          <w:szCs w:val="32"/>
        </w:rPr>
        <w:t>（九）推进党的建设方面</w:t>
      </w:r>
    </w:p>
    <w:p w:rsidR="00FD3477" w:rsidRDefault="00B3617E">
      <w:pPr>
        <w:snapToGrid w:val="0"/>
        <w:spacing w:line="560" w:lineRule="exact"/>
        <w:ind w:firstLineChars="200" w:firstLine="640"/>
        <w:rPr>
          <w:rFonts w:ascii="楷体" w:eastAsia="楷体" w:hAnsi="楷体"/>
          <w:sz w:val="32"/>
          <w:szCs w:val="32"/>
        </w:rPr>
      </w:pPr>
      <w:r>
        <w:rPr>
          <w:rFonts w:ascii="仿宋" w:eastAsia="仿宋" w:hAnsi="仿宋" w:hint="eastAsia"/>
          <w:sz w:val="32"/>
          <w:szCs w:val="32"/>
        </w:rPr>
        <w:t>我站深入领会中央、省委、市委、县委全会精神，及时跟进学习党中央的新文件、新决策、新部署，自觉做到内化于心、外化于行。一是认真抓实党史学习教育。制定《党史学习教育实施方案》和《</w:t>
      </w:r>
      <w:r>
        <w:rPr>
          <w:rFonts w:ascii="仿宋" w:eastAsia="仿宋" w:hAnsi="仿宋" w:hint="eastAsia"/>
          <w:sz w:val="32"/>
          <w:szCs w:val="32"/>
        </w:rPr>
        <w:t>党史学习教育计划表》，以</w:t>
      </w:r>
      <w:r w:rsidR="007626F7" w:rsidRPr="007626F7">
        <w:rPr>
          <w:rFonts w:ascii="仿宋" w:eastAsia="仿宋" w:hAnsi="仿宋" w:hint="eastAsia"/>
          <w:sz w:val="32"/>
          <w:szCs w:val="32"/>
          <w:u w:color="46CD7E"/>
        </w:rPr>
        <w:t>习近平总书记系列重要讲话精神</w:t>
      </w:r>
      <w:r>
        <w:rPr>
          <w:rFonts w:ascii="仿宋" w:eastAsia="仿宋" w:hAnsi="仿宋" w:hint="eastAsia"/>
          <w:sz w:val="32"/>
          <w:szCs w:val="32"/>
        </w:rPr>
        <w:t>和四本必读书目为重点，通过专题学习、党史相关知识测试、瞻仰红色教育基地等形式，引导党员干部阅读党史读物，</w:t>
      </w:r>
      <w:r w:rsidR="007626F7" w:rsidRPr="007626F7">
        <w:rPr>
          <w:rFonts w:ascii="仿宋" w:eastAsia="仿宋" w:hAnsi="仿宋" w:hint="eastAsia"/>
          <w:sz w:val="32"/>
          <w:szCs w:val="32"/>
          <w:u w:color="46CD7E"/>
        </w:rPr>
        <w:t>诵读</w:t>
      </w:r>
      <w:r>
        <w:rPr>
          <w:rFonts w:ascii="仿宋" w:eastAsia="仿宋" w:hAnsi="仿宋" w:hint="eastAsia"/>
          <w:sz w:val="32"/>
          <w:szCs w:val="32"/>
        </w:rPr>
        <w:t>红色故事，交流学习心得，深化对党百年光辉历程的认识；积极召开党史学习教育专题组织生活会，严格对照检查，</w:t>
      </w:r>
      <w:proofErr w:type="gramStart"/>
      <w:r>
        <w:rPr>
          <w:rFonts w:ascii="仿宋" w:eastAsia="仿宋" w:hAnsi="仿宋" w:hint="eastAsia"/>
          <w:sz w:val="32"/>
          <w:szCs w:val="32"/>
        </w:rPr>
        <w:t>找准找实问题</w:t>
      </w:r>
      <w:proofErr w:type="gramEnd"/>
      <w:r>
        <w:rPr>
          <w:rFonts w:ascii="仿宋" w:eastAsia="仿宋" w:hAnsi="仿宋" w:hint="eastAsia"/>
          <w:sz w:val="32"/>
          <w:szCs w:val="32"/>
        </w:rPr>
        <w:t>，制定整改措施，推动党史学习教育</w:t>
      </w:r>
      <w:proofErr w:type="gramStart"/>
      <w:r>
        <w:rPr>
          <w:rFonts w:ascii="仿宋" w:eastAsia="仿宋" w:hAnsi="仿宋" w:hint="eastAsia"/>
          <w:sz w:val="32"/>
          <w:szCs w:val="32"/>
        </w:rPr>
        <w:t>走深走实</w:t>
      </w:r>
      <w:proofErr w:type="gramEnd"/>
      <w:r>
        <w:rPr>
          <w:rFonts w:ascii="仿宋" w:eastAsia="仿宋" w:hAnsi="仿宋" w:hint="eastAsia"/>
          <w:sz w:val="32"/>
          <w:szCs w:val="32"/>
        </w:rPr>
        <w:t>。二是全面推行党员积分制管理。把党员积分制管理与巩固深化“不忘初心、牢记使命”主题</w:t>
      </w:r>
      <w:r>
        <w:rPr>
          <w:rFonts w:ascii="仿宋" w:eastAsia="仿宋" w:hAnsi="仿宋" w:hint="eastAsia"/>
          <w:sz w:val="32"/>
          <w:szCs w:val="32"/>
        </w:rPr>
        <w:lastRenderedPageBreak/>
        <w:t>教育、“党史学习教育”</w:t>
      </w:r>
      <w:r>
        <w:rPr>
          <w:rFonts w:ascii="仿宋" w:eastAsia="仿宋" w:hAnsi="仿宋" w:hint="eastAsia"/>
          <w:sz w:val="32"/>
          <w:szCs w:val="32"/>
        </w:rPr>
        <w:t>“五好党支部”创建等结合起来，进一步探索党员教育培养的有效办法。三是抓好“机关病”专项整治。严格</w:t>
      </w:r>
      <w:r>
        <w:rPr>
          <w:rFonts w:ascii="仿宋" w:eastAsia="仿宋" w:hAnsi="仿宋" w:hint="eastAsia"/>
          <w:sz w:val="32"/>
          <w:szCs w:val="32"/>
        </w:rPr>
        <w:t>贯彻执行中央八项规定精神、</w:t>
      </w:r>
      <w:r w:rsidR="007626F7" w:rsidRPr="007626F7">
        <w:rPr>
          <w:rFonts w:ascii="仿宋" w:eastAsia="仿宋" w:hAnsi="仿宋" w:hint="eastAsia"/>
          <w:sz w:val="32"/>
          <w:szCs w:val="32"/>
          <w:u w:color="46CD7E"/>
        </w:rPr>
        <w:t>省委、省政府</w:t>
      </w:r>
      <w:r>
        <w:rPr>
          <w:rFonts w:ascii="仿宋" w:eastAsia="仿宋" w:hAnsi="仿宋" w:hint="eastAsia"/>
          <w:sz w:val="32"/>
          <w:szCs w:val="32"/>
        </w:rPr>
        <w:t>十项规定、</w:t>
      </w:r>
      <w:r w:rsidR="007626F7" w:rsidRPr="007626F7">
        <w:rPr>
          <w:rFonts w:ascii="仿宋" w:eastAsia="仿宋" w:hAnsi="仿宋" w:hint="eastAsia"/>
          <w:sz w:val="32"/>
          <w:szCs w:val="32"/>
          <w:u w:color="46CD7E"/>
        </w:rPr>
        <w:t>市委、市政府</w:t>
      </w:r>
      <w:r>
        <w:rPr>
          <w:rFonts w:ascii="仿宋" w:eastAsia="仿宋" w:hAnsi="仿宋" w:hint="eastAsia"/>
          <w:sz w:val="32"/>
          <w:szCs w:val="32"/>
        </w:rPr>
        <w:t>九项规定和</w:t>
      </w:r>
      <w:r w:rsidR="007626F7" w:rsidRPr="007626F7">
        <w:rPr>
          <w:rFonts w:ascii="仿宋" w:eastAsia="仿宋" w:hAnsi="仿宋" w:hint="eastAsia"/>
          <w:sz w:val="32"/>
          <w:szCs w:val="32"/>
          <w:u w:color="46CD7E"/>
        </w:rPr>
        <w:t>县委、县政府</w:t>
      </w:r>
      <w:r>
        <w:rPr>
          <w:rFonts w:ascii="仿宋" w:eastAsia="仿宋" w:hAnsi="仿宋" w:hint="eastAsia"/>
          <w:sz w:val="32"/>
          <w:szCs w:val="32"/>
        </w:rPr>
        <w:t>十项规定，建立健全“机关病”长效防治机制，努力营造风清气正的政治生态。</w:t>
      </w:r>
    </w:p>
    <w:p w:rsidR="00FD3477" w:rsidRDefault="00B3617E">
      <w:pPr>
        <w:widowControl/>
        <w:jc w:val="left"/>
        <w:rPr>
          <w:rFonts w:ascii="楷体" w:eastAsia="楷体" w:hAnsi="楷体"/>
          <w:kern w:val="0"/>
          <w:sz w:val="32"/>
          <w:szCs w:val="32"/>
        </w:rPr>
      </w:pPr>
      <w:r>
        <w:rPr>
          <w:rFonts w:ascii="楷体" w:eastAsia="楷体" w:hAnsi="楷体"/>
          <w:sz w:val="32"/>
          <w:szCs w:val="32"/>
        </w:rPr>
        <w:br w:type="page"/>
      </w:r>
    </w:p>
    <w:p w:rsidR="00FD3477" w:rsidRDefault="00B3617E">
      <w:pPr>
        <w:pStyle w:val="1"/>
        <w:ind w:right="440"/>
        <w:jc w:val="center"/>
        <w:rPr>
          <w:rStyle w:val="10"/>
          <w:rFonts w:ascii="黑体" w:eastAsia="黑体" w:hAnsi="黑体"/>
          <w:bCs/>
        </w:rPr>
      </w:pPr>
      <w:bookmarkStart w:id="21" w:name="_Toc15396602"/>
      <w:bookmarkStart w:id="22" w:name="_Toc15377204"/>
      <w:bookmarkStart w:id="23" w:name="_Toc31746"/>
      <w:r>
        <w:rPr>
          <w:rFonts w:ascii="黑体" w:eastAsia="黑体" w:hAnsi="黑体" w:hint="eastAsia"/>
          <w:b w:val="0"/>
        </w:rPr>
        <w:lastRenderedPageBreak/>
        <w:t>第二部分</w:t>
      </w:r>
      <w:r>
        <w:rPr>
          <w:rFonts w:ascii="黑体" w:eastAsia="黑体" w:hAnsi="黑体" w:hint="eastAsia"/>
          <w:b w:val="0"/>
        </w:rPr>
        <w:t xml:space="preserve"> 2021</w:t>
      </w:r>
      <w:r>
        <w:rPr>
          <w:rFonts w:ascii="黑体" w:eastAsia="黑体" w:hAnsi="黑体" w:hint="eastAsia"/>
          <w:b w:val="0"/>
        </w:rPr>
        <w:t>年度</w:t>
      </w:r>
      <w:r>
        <w:rPr>
          <w:rStyle w:val="10"/>
          <w:rFonts w:ascii="黑体" w:eastAsia="黑体" w:hAnsi="黑体" w:hint="eastAsia"/>
          <w:bCs/>
        </w:rPr>
        <w:t>单位决算情况说明</w:t>
      </w:r>
      <w:bookmarkEnd w:id="21"/>
      <w:bookmarkEnd w:id="22"/>
      <w:bookmarkEnd w:id="23"/>
    </w:p>
    <w:p w:rsidR="00FD3477" w:rsidRDefault="00FD3477"/>
    <w:p w:rsidR="00FD3477" w:rsidRDefault="00B3617E">
      <w:pPr>
        <w:pStyle w:val="ad"/>
        <w:numPr>
          <w:ilvl w:val="0"/>
          <w:numId w:val="1"/>
        </w:numPr>
        <w:spacing w:line="600" w:lineRule="exact"/>
        <w:ind w:firstLineChars="0"/>
        <w:outlineLvl w:val="1"/>
        <w:rPr>
          <w:rStyle w:val="20"/>
          <w:rFonts w:ascii="黑体" w:eastAsia="黑体" w:hAnsi="黑体"/>
          <w:b w:val="0"/>
        </w:rPr>
      </w:pPr>
      <w:bookmarkStart w:id="24" w:name="_Toc15377205"/>
      <w:bookmarkStart w:id="25" w:name="_Toc15396603"/>
      <w:bookmarkStart w:id="26" w:name="_Toc28292"/>
      <w:r>
        <w:rPr>
          <w:rFonts w:ascii="黑体" w:eastAsia="黑体" w:hAnsi="黑体" w:hint="eastAsia"/>
          <w:sz w:val="32"/>
          <w:szCs w:val="32"/>
        </w:rPr>
        <w:t>收</w:t>
      </w:r>
      <w:r>
        <w:rPr>
          <w:rStyle w:val="20"/>
          <w:rFonts w:ascii="黑体" w:eastAsia="黑体" w:hAnsi="黑体" w:hint="eastAsia"/>
          <w:b w:val="0"/>
        </w:rPr>
        <w:t>入支出决算总体情况说明</w:t>
      </w:r>
      <w:bookmarkEnd w:id="24"/>
      <w:bookmarkEnd w:id="25"/>
      <w:bookmarkEnd w:id="26"/>
    </w:p>
    <w:p w:rsidR="00FD3477" w:rsidRDefault="00B3617E">
      <w:pPr>
        <w:spacing w:line="560" w:lineRule="exact"/>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年度收、支总计</w:t>
      </w:r>
      <w:r>
        <w:rPr>
          <w:rFonts w:ascii="仿宋" w:eastAsia="仿宋" w:hAnsi="仿宋"/>
          <w:sz w:val="32"/>
          <w:szCs w:val="32"/>
        </w:rPr>
        <w:t>338.83</w:t>
      </w:r>
      <w:r>
        <w:rPr>
          <w:rFonts w:ascii="仿宋" w:eastAsia="仿宋" w:hAnsi="仿宋" w:hint="eastAsia"/>
          <w:sz w:val="32"/>
          <w:szCs w:val="32"/>
        </w:rPr>
        <w:t>万元。与</w:t>
      </w:r>
      <w:r>
        <w:rPr>
          <w:rFonts w:ascii="仿宋" w:eastAsia="仿宋" w:hAnsi="仿宋" w:hint="eastAsia"/>
          <w:sz w:val="32"/>
          <w:szCs w:val="32"/>
        </w:rPr>
        <w:t>2020</w:t>
      </w:r>
      <w:r>
        <w:rPr>
          <w:rFonts w:ascii="仿宋" w:eastAsia="仿宋" w:hAnsi="仿宋" w:hint="eastAsia"/>
          <w:sz w:val="32"/>
          <w:szCs w:val="32"/>
        </w:rPr>
        <w:t>年相比，收、支总计各增加</w:t>
      </w:r>
      <w:r>
        <w:rPr>
          <w:rFonts w:ascii="仿宋" w:eastAsia="仿宋" w:hAnsi="仿宋" w:hint="eastAsia"/>
          <w:sz w:val="32"/>
          <w:szCs w:val="32"/>
        </w:rPr>
        <w:t>6.07</w:t>
      </w:r>
      <w:r>
        <w:rPr>
          <w:rFonts w:ascii="仿宋" w:eastAsia="仿宋" w:hAnsi="仿宋" w:hint="eastAsia"/>
          <w:sz w:val="32"/>
          <w:szCs w:val="32"/>
        </w:rPr>
        <w:t>万元，增长</w:t>
      </w:r>
      <w:r>
        <w:rPr>
          <w:rFonts w:ascii="仿宋" w:eastAsia="仿宋" w:hAnsi="仿宋" w:hint="eastAsia"/>
          <w:sz w:val="32"/>
          <w:szCs w:val="32"/>
        </w:rPr>
        <w:t>1.82</w:t>
      </w:r>
      <w:r>
        <w:rPr>
          <w:rFonts w:ascii="仿宋" w:eastAsia="仿宋" w:hAnsi="仿宋"/>
          <w:sz w:val="32"/>
          <w:szCs w:val="32"/>
        </w:rPr>
        <w:t>%</w:t>
      </w:r>
      <w:r>
        <w:rPr>
          <w:rFonts w:ascii="仿宋" w:eastAsia="仿宋" w:hAnsi="仿宋" w:hint="eastAsia"/>
          <w:sz w:val="32"/>
          <w:szCs w:val="32"/>
        </w:rPr>
        <w:t>。变动主要原因是人员正常增资及项目增加。</w:t>
      </w:r>
    </w:p>
    <w:p w:rsidR="00FD3477" w:rsidRDefault="00B3617E">
      <w:pPr>
        <w:spacing w:line="560" w:lineRule="exact"/>
        <w:ind w:firstLineChars="200" w:firstLine="640"/>
        <w:jc w:val="center"/>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tbl>
      <w:tblPr>
        <w:tblW w:w="8392" w:type="dxa"/>
        <w:tblInd w:w="108" w:type="dxa"/>
        <w:tblLook w:val="04A0" w:firstRow="1" w:lastRow="0" w:firstColumn="1" w:lastColumn="0" w:noHBand="0" w:noVBand="1"/>
      </w:tblPr>
      <w:tblGrid>
        <w:gridCol w:w="1516"/>
        <w:gridCol w:w="1316"/>
        <w:gridCol w:w="1316"/>
        <w:gridCol w:w="1316"/>
        <w:gridCol w:w="976"/>
        <w:gridCol w:w="976"/>
        <w:gridCol w:w="976"/>
      </w:tblGrid>
      <w:tr w:rsidR="00FD3477">
        <w:trPr>
          <w:trHeight w:val="492"/>
        </w:trPr>
        <w:tc>
          <w:tcPr>
            <w:tcW w:w="15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bl>
            <w:tblPr>
              <w:tblW w:w="0" w:type="auto"/>
              <w:tblCellSpacing w:w="0" w:type="dxa"/>
              <w:tblCellMar>
                <w:left w:w="0" w:type="dxa"/>
                <w:right w:w="0" w:type="dxa"/>
              </w:tblCellMar>
              <w:tblLook w:val="04A0" w:firstRow="1" w:lastRow="0" w:firstColumn="1" w:lastColumn="0" w:noHBand="0" w:noVBand="1"/>
            </w:tblPr>
            <w:tblGrid>
              <w:gridCol w:w="1300"/>
            </w:tblGrid>
            <w:tr w:rsidR="00FD3477">
              <w:trPr>
                <w:trHeight w:val="492"/>
                <w:tblCellSpacing w:w="0" w:type="dxa"/>
              </w:trPr>
              <w:tc>
                <w:tcPr>
                  <w:tcW w:w="1300" w:type="dxa"/>
                  <w:tcBorders>
                    <w:top w:val="nil"/>
                    <w:left w:val="nil"/>
                    <w:bottom w:val="nil"/>
                    <w:right w:val="nil"/>
                  </w:tcBorders>
                  <w:shd w:val="clear" w:color="auto" w:fill="auto"/>
                  <w:noWrap/>
                  <w:vAlign w:val="center"/>
                </w:tcPr>
                <w:p w:rsidR="00FD3477" w:rsidRDefault="00B3617E">
                  <w:pPr>
                    <w:widowControl/>
                    <w:jc w:val="left"/>
                    <w:rPr>
                      <w:rFonts w:ascii="宋体" w:hAnsi="宋体" w:cs="宋体"/>
                      <w:color w:val="000000"/>
                      <w:kern w:val="0"/>
                      <w:sz w:val="22"/>
                      <w:szCs w:val="22"/>
                    </w:rPr>
                  </w:pPr>
                  <w:r>
                    <w:rPr>
                      <w:rFonts w:ascii="宋体" w:hAnsi="宋体" w:cs="宋体"/>
                      <w:noProof/>
                      <w:color w:val="000000"/>
                      <w:kern w:val="0"/>
                      <w:sz w:val="22"/>
                      <w:szCs w:val="22"/>
                    </w:rPr>
                    <w:drawing>
                      <wp:anchor distT="0" distB="0" distL="114300" distR="114300" simplePos="0" relativeHeight="251656704" behindDoc="0" locked="0" layoutInCell="1" allowOverlap="1">
                        <wp:simplePos x="0" y="0"/>
                        <wp:positionH relativeFrom="column">
                          <wp:posOffset>283210</wp:posOffset>
                        </wp:positionH>
                        <wp:positionV relativeFrom="paragraph">
                          <wp:posOffset>-13335</wp:posOffset>
                        </wp:positionV>
                        <wp:extent cx="4606925" cy="2538730"/>
                        <wp:effectExtent l="19050" t="0" r="22225" b="0"/>
                        <wp:wrapNone/>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tc>
            </w:tr>
          </w:tbl>
          <w:p w:rsidR="00FD3477" w:rsidRDefault="00FD3477">
            <w:pPr>
              <w:widowControl/>
              <w:jc w:val="left"/>
              <w:rPr>
                <w:rFonts w:ascii="宋体" w:hAnsi="宋体" w:cs="宋体"/>
                <w:color w:val="000000"/>
                <w:kern w:val="0"/>
                <w:sz w:val="22"/>
                <w:szCs w:val="22"/>
              </w:rPr>
            </w:pPr>
          </w:p>
        </w:tc>
        <w:tc>
          <w:tcPr>
            <w:tcW w:w="13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r w:rsidR="00FD3477">
        <w:trPr>
          <w:trHeight w:val="288"/>
        </w:trPr>
        <w:tc>
          <w:tcPr>
            <w:tcW w:w="1516" w:type="dxa"/>
            <w:tcBorders>
              <w:top w:val="nil"/>
              <w:left w:val="nil"/>
              <w:bottom w:val="nil"/>
              <w:right w:val="nil"/>
            </w:tcBorders>
            <w:shd w:val="clear" w:color="auto" w:fill="auto"/>
            <w:noWrap/>
            <w:vAlign w:val="center"/>
          </w:tcPr>
          <w:p w:rsidR="00FD3477" w:rsidRDefault="00FD3477">
            <w:pPr>
              <w:widowControl/>
              <w:jc w:val="right"/>
              <w:rPr>
                <w:rFonts w:ascii="宋体" w:hAnsi="宋体" w:cs="宋体"/>
                <w:color w:val="000000"/>
                <w:kern w:val="0"/>
                <w:sz w:val="22"/>
                <w:szCs w:val="22"/>
              </w:rPr>
            </w:pPr>
          </w:p>
        </w:tc>
        <w:tc>
          <w:tcPr>
            <w:tcW w:w="1316" w:type="dxa"/>
            <w:tcBorders>
              <w:top w:val="nil"/>
              <w:left w:val="nil"/>
              <w:bottom w:val="nil"/>
              <w:right w:val="nil"/>
            </w:tcBorders>
            <w:shd w:val="clear" w:color="auto" w:fill="auto"/>
            <w:noWrap/>
            <w:vAlign w:val="center"/>
          </w:tcPr>
          <w:p w:rsidR="00FD3477" w:rsidRDefault="00FD3477">
            <w:pPr>
              <w:widowControl/>
              <w:jc w:val="right"/>
              <w:rPr>
                <w:rFonts w:ascii="宋体" w:hAnsi="宋体" w:cs="宋体"/>
                <w:color w:val="000000"/>
                <w:kern w:val="0"/>
                <w:sz w:val="22"/>
                <w:szCs w:val="22"/>
              </w:rPr>
            </w:pPr>
          </w:p>
        </w:tc>
        <w:tc>
          <w:tcPr>
            <w:tcW w:w="1316" w:type="dxa"/>
            <w:tcBorders>
              <w:top w:val="nil"/>
              <w:left w:val="nil"/>
              <w:bottom w:val="nil"/>
              <w:right w:val="nil"/>
            </w:tcBorders>
            <w:shd w:val="clear" w:color="auto" w:fill="auto"/>
            <w:noWrap/>
            <w:vAlign w:val="bottom"/>
          </w:tcPr>
          <w:p w:rsidR="00FD3477" w:rsidRDefault="00FD3477">
            <w:pPr>
              <w:widowControl/>
              <w:jc w:val="right"/>
              <w:rPr>
                <w:rFonts w:ascii="Arial" w:hAnsi="Arial" w:cs="Arial"/>
                <w:color w:val="000000"/>
                <w:kern w:val="0"/>
                <w:sz w:val="20"/>
                <w:szCs w:val="20"/>
              </w:rPr>
            </w:pPr>
          </w:p>
        </w:tc>
        <w:tc>
          <w:tcPr>
            <w:tcW w:w="1316" w:type="dxa"/>
            <w:tcBorders>
              <w:top w:val="nil"/>
              <w:left w:val="nil"/>
              <w:bottom w:val="nil"/>
              <w:right w:val="nil"/>
            </w:tcBorders>
            <w:shd w:val="clear" w:color="auto" w:fill="auto"/>
            <w:noWrap/>
            <w:vAlign w:val="bottom"/>
          </w:tcPr>
          <w:p w:rsidR="00FD3477" w:rsidRDefault="00FD3477">
            <w:pPr>
              <w:widowControl/>
              <w:jc w:val="right"/>
              <w:rPr>
                <w:rFonts w:ascii="Arial" w:hAnsi="Arial" w:cs="Arial"/>
                <w:color w:val="000000"/>
                <w:kern w:val="0"/>
                <w:sz w:val="20"/>
                <w:szCs w:val="20"/>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r w:rsidR="00FD3477">
        <w:trPr>
          <w:trHeight w:val="288"/>
        </w:trPr>
        <w:tc>
          <w:tcPr>
            <w:tcW w:w="15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r w:rsidR="00FD3477">
        <w:trPr>
          <w:trHeight w:val="288"/>
        </w:trPr>
        <w:tc>
          <w:tcPr>
            <w:tcW w:w="15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r w:rsidR="00FD3477">
        <w:trPr>
          <w:trHeight w:val="288"/>
        </w:trPr>
        <w:tc>
          <w:tcPr>
            <w:tcW w:w="15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r w:rsidR="00FD3477">
        <w:trPr>
          <w:trHeight w:val="288"/>
        </w:trPr>
        <w:tc>
          <w:tcPr>
            <w:tcW w:w="15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r w:rsidR="00FD3477">
        <w:trPr>
          <w:trHeight w:val="288"/>
        </w:trPr>
        <w:tc>
          <w:tcPr>
            <w:tcW w:w="15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r w:rsidR="00FD3477">
        <w:trPr>
          <w:trHeight w:val="288"/>
        </w:trPr>
        <w:tc>
          <w:tcPr>
            <w:tcW w:w="15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r w:rsidR="00FD3477">
        <w:trPr>
          <w:trHeight w:val="288"/>
        </w:trPr>
        <w:tc>
          <w:tcPr>
            <w:tcW w:w="15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r w:rsidR="00FD3477">
        <w:trPr>
          <w:trHeight w:val="288"/>
        </w:trPr>
        <w:tc>
          <w:tcPr>
            <w:tcW w:w="15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r w:rsidR="00FD3477">
        <w:trPr>
          <w:trHeight w:val="288"/>
        </w:trPr>
        <w:tc>
          <w:tcPr>
            <w:tcW w:w="15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r w:rsidR="00FD3477">
        <w:trPr>
          <w:trHeight w:val="288"/>
        </w:trPr>
        <w:tc>
          <w:tcPr>
            <w:tcW w:w="15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r w:rsidR="00FD3477">
        <w:trPr>
          <w:trHeight w:val="288"/>
        </w:trPr>
        <w:tc>
          <w:tcPr>
            <w:tcW w:w="15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r w:rsidR="00FD3477">
        <w:trPr>
          <w:trHeight w:val="288"/>
        </w:trPr>
        <w:tc>
          <w:tcPr>
            <w:tcW w:w="15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bl>
    <w:p w:rsidR="00FD3477" w:rsidRDefault="00B3617E">
      <w:pPr>
        <w:pStyle w:val="ad"/>
        <w:numPr>
          <w:ilvl w:val="0"/>
          <w:numId w:val="1"/>
        </w:numPr>
        <w:spacing w:line="600" w:lineRule="exact"/>
        <w:ind w:firstLineChars="0"/>
        <w:outlineLvl w:val="1"/>
        <w:rPr>
          <w:rStyle w:val="20"/>
          <w:rFonts w:ascii="黑体" w:eastAsia="黑体" w:hAnsi="黑体"/>
          <w:b w:val="0"/>
        </w:rPr>
      </w:pPr>
      <w:bookmarkStart w:id="27" w:name="_Toc15396604"/>
      <w:bookmarkStart w:id="28" w:name="_Toc15377206"/>
      <w:bookmarkStart w:id="29" w:name="_Toc4654"/>
      <w:r>
        <w:rPr>
          <w:rFonts w:ascii="黑体" w:eastAsia="黑体" w:hAnsi="黑体" w:hint="eastAsia"/>
          <w:sz w:val="32"/>
          <w:szCs w:val="32"/>
        </w:rPr>
        <w:t>收</w:t>
      </w:r>
      <w:r>
        <w:rPr>
          <w:rStyle w:val="20"/>
          <w:rFonts w:ascii="黑体" w:eastAsia="黑体" w:hAnsi="黑体" w:hint="eastAsia"/>
          <w:b w:val="0"/>
        </w:rPr>
        <w:t>入决算情况说明</w:t>
      </w:r>
      <w:bookmarkEnd w:id="27"/>
      <w:bookmarkEnd w:id="28"/>
      <w:bookmarkEnd w:id="29"/>
    </w:p>
    <w:p w:rsidR="00FD3477" w:rsidRDefault="00B3617E">
      <w:pPr>
        <w:spacing w:line="56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年本年收入合计</w:t>
      </w:r>
      <w:r>
        <w:rPr>
          <w:rFonts w:ascii="仿宋" w:eastAsia="仿宋" w:hAnsi="仿宋"/>
          <w:sz w:val="32"/>
          <w:szCs w:val="32"/>
        </w:rPr>
        <w:t>338.83</w:t>
      </w:r>
      <w:r>
        <w:rPr>
          <w:rFonts w:ascii="仿宋" w:eastAsia="仿宋" w:hAnsi="仿宋" w:hint="eastAsia"/>
          <w:sz w:val="32"/>
          <w:szCs w:val="32"/>
        </w:rPr>
        <w:t>万元，其中：一般公共预算财政拨款收入</w:t>
      </w:r>
      <w:r>
        <w:rPr>
          <w:rFonts w:ascii="仿宋" w:eastAsia="仿宋" w:hAnsi="仿宋"/>
          <w:sz w:val="32"/>
          <w:szCs w:val="32"/>
        </w:rPr>
        <w:t>336.13</w:t>
      </w:r>
      <w:r>
        <w:rPr>
          <w:rFonts w:ascii="仿宋" w:eastAsia="仿宋" w:hAnsi="仿宋" w:hint="eastAsia"/>
          <w:sz w:val="32"/>
          <w:szCs w:val="32"/>
        </w:rPr>
        <w:t>万元，占</w:t>
      </w:r>
      <w:r>
        <w:rPr>
          <w:rFonts w:ascii="仿宋" w:eastAsia="仿宋" w:hAnsi="仿宋" w:hint="eastAsia"/>
          <w:sz w:val="32"/>
          <w:szCs w:val="32"/>
        </w:rPr>
        <w:t>99.2</w:t>
      </w:r>
      <w:r>
        <w:rPr>
          <w:rFonts w:ascii="仿宋" w:eastAsia="仿宋" w:hAnsi="仿宋"/>
          <w:sz w:val="32"/>
          <w:szCs w:val="32"/>
        </w:rPr>
        <w:t>%</w:t>
      </w:r>
      <w:r>
        <w:rPr>
          <w:rFonts w:ascii="仿宋" w:eastAsia="仿宋" w:hAnsi="仿宋" w:hint="eastAsia"/>
          <w:sz w:val="32"/>
          <w:szCs w:val="32"/>
        </w:rPr>
        <w:t>；其他收入</w:t>
      </w:r>
      <w:r>
        <w:rPr>
          <w:rFonts w:ascii="仿宋" w:eastAsia="仿宋" w:hAnsi="仿宋" w:hint="eastAsia"/>
          <w:sz w:val="32"/>
          <w:szCs w:val="32"/>
        </w:rPr>
        <w:t>2.7</w:t>
      </w:r>
      <w:r>
        <w:rPr>
          <w:rFonts w:ascii="仿宋" w:eastAsia="仿宋" w:hAnsi="仿宋" w:hint="eastAsia"/>
          <w:sz w:val="32"/>
          <w:szCs w:val="32"/>
        </w:rPr>
        <w:t>万元，占</w:t>
      </w:r>
      <w:r>
        <w:rPr>
          <w:rFonts w:ascii="仿宋" w:eastAsia="仿宋" w:hAnsi="仿宋" w:hint="eastAsia"/>
          <w:sz w:val="32"/>
          <w:szCs w:val="32"/>
        </w:rPr>
        <w:t>0.8</w:t>
      </w:r>
      <w:r>
        <w:rPr>
          <w:rFonts w:ascii="仿宋" w:eastAsia="仿宋" w:hAnsi="仿宋"/>
          <w:sz w:val="32"/>
          <w:szCs w:val="32"/>
        </w:rPr>
        <w:t>%</w:t>
      </w:r>
      <w:r>
        <w:rPr>
          <w:rFonts w:ascii="仿宋" w:eastAsia="仿宋" w:hAnsi="仿宋" w:hint="eastAsia"/>
          <w:sz w:val="32"/>
          <w:szCs w:val="32"/>
        </w:rPr>
        <w:t>。</w:t>
      </w:r>
    </w:p>
    <w:p w:rsidR="00FD3477" w:rsidRDefault="00B3617E">
      <w:pPr>
        <w:spacing w:line="56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2</w:t>
      </w:r>
      <w:r>
        <w:rPr>
          <w:rFonts w:ascii="仿宋" w:eastAsia="仿宋" w:hAnsi="仿宋" w:hint="eastAsia"/>
          <w:sz w:val="32"/>
          <w:szCs w:val="32"/>
        </w:rPr>
        <w:t>：收入决算结构图）</w:t>
      </w:r>
    </w:p>
    <w:p w:rsidR="00FD3477" w:rsidRDefault="00B3617E">
      <w:pPr>
        <w:pStyle w:val="a0"/>
        <w:spacing w:before="93"/>
      </w:pPr>
      <w:r>
        <w:rPr>
          <w:noProof/>
        </w:rPr>
        <w:lastRenderedPageBreak/>
        <w:drawing>
          <wp:inline distT="0" distB="0" distL="0" distR="0">
            <wp:extent cx="4573270" cy="2565400"/>
            <wp:effectExtent l="19050" t="0" r="17680" b="6167"/>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D3477" w:rsidRDefault="00B3617E">
      <w:pPr>
        <w:pStyle w:val="ad"/>
        <w:numPr>
          <w:ilvl w:val="0"/>
          <w:numId w:val="1"/>
        </w:numPr>
        <w:spacing w:line="600" w:lineRule="exact"/>
        <w:ind w:firstLineChars="0"/>
        <w:outlineLvl w:val="1"/>
        <w:rPr>
          <w:rStyle w:val="20"/>
          <w:rFonts w:ascii="黑体" w:eastAsia="黑体" w:hAnsi="黑体"/>
          <w:b w:val="0"/>
        </w:rPr>
      </w:pPr>
      <w:bookmarkStart w:id="30" w:name="_Toc15377207"/>
      <w:bookmarkStart w:id="31" w:name="_Toc15396605"/>
      <w:bookmarkStart w:id="32" w:name="_Toc18064"/>
      <w:r>
        <w:rPr>
          <w:rFonts w:ascii="黑体" w:eastAsia="黑体" w:hAnsi="黑体" w:hint="eastAsia"/>
          <w:sz w:val="32"/>
          <w:szCs w:val="32"/>
        </w:rPr>
        <w:t>支</w:t>
      </w:r>
      <w:r>
        <w:rPr>
          <w:rStyle w:val="20"/>
          <w:rFonts w:ascii="黑体" w:eastAsia="黑体" w:hAnsi="黑体" w:hint="eastAsia"/>
          <w:b w:val="0"/>
        </w:rPr>
        <w:t>出决算情况说明</w:t>
      </w:r>
      <w:bookmarkEnd w:id="30"/>
      <w:bookmarkEnd w:id="31"/>
      <w:bookmarkEnd w:id="32"/>
    </w:p>
    <w:p w:rsidR="00FD3477" w:rsidRDefault="00B3617E">
      <w:pPr>
        <w:spacing w:line="560" w:lineRule="exact"/>
        <w:ind w:firstLineChars="200" w:firstLine="640"/>
        <w:outlineLvl w:val="1"/>
        <w:rPr>
          <w:rFonts w:ascii="仿宋" w:eastAsia="仿宋" w:hAnsi="仿宋"/>
          <w:sz w:val="32"/>
          <w:szCs w:val="32"/>
        </w:rPr>
      </w:pPr>
      <w:bookmarkStart w:id="33" w:name="_Toc22645"/>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年本年支出合计</w:t>
      </w:r>
      <w:r>
        <w:rPr>
          <w:rFonts w:ascii="仿宋" w:eastAsia="仿宋" w:hAnsi="仿宋"/>
          <w:sz w:val="32"/>
          <w:szCs w:val="32"/>
        </w:rPr>
        <w:t>338.83</w:t>
      </w:r>
      <w:r>
        <w:rPr>
          <w:rFonts w:ascii="仿宋" w:eastAsia="仿宋" w:hAnsi="仿宋" w:hint="eastAsia"/>
          <w:sz w:val="32"/>
          <w:szCs w:val="32"/>
        </w:rPr>
        <w:t>万元，其中：基本支出</w:t>
      </w:r>
      <w:r>
        <w:rPr>
          <w:rFonts w:ascii="仿宋" w:eastAsia="仿宋" w:hAnsi="仿宋" w:hint="eastAsia"/>
          <w:sz w:val="32"/>
          <w:szCs w:val="32"/>
        </w:rPr>
        <w:t>318.43</w:t>
      </w:r>
      <w:r>
        <w:rPr>
          <w:rFonts w:ascii="仿宋" w:eastAsia="仿宋" w:hAnsi="仿宋" w:hint="eastAsia"/>
          <w:sz w:val="32"/>
          <w:szCs w:val="32"/>
        </w:rPr>
        <w:t>万元，占</w:t>
      </w:r>
      <w:r>
        <w:rPr>
          <w:rFonts w:ascii="仿宋" w:eastAsia="仿宋" w:hAnsi="仿宋" w:hint="eastAsia"/>
          <w:sz w:val="32"/>
          <w:szCs w:val="32"/>
        </w:rPr>
        <w:t>93.98</w:t>
      </w:r>
      <w:r>
        <w:rPr>
          <w:rFonts w:ascii="仿宋" w:eastAsia="仿宋" w:hAnsi="仿宋"/>
          <w:sz w:val="32"/>
          <w:szCs w:val="32"/>
        </w:rPr>
        <w:t>%</w:t>
      </w:r>
      <w:r>
        <w:rPr>
          <w:rFonts w:ascii="仿宋" w:eastAsia="仿宋" w:hAnsi="仿宋" w:hint="eastAsia"/>
          <w:sz w:val="32"/>
          <w:szCs w:val="32"/>
        </w:rPr>
        <w:t>；项目支出</w:t>
      </w:r>
      <w:r>
        <w:rPr>
          <w:rFonts w:ascii="仿宋" w:eastAsia="仿宋" w:hAnsi="仿宋" w:hint="eastAsia"/>
          <w:sz w:val="32"/>
          <w:szCs w:val="32"/>
        </w:rPr>
        <w:t>20.4</w:t>
      </w:r>
      <w:r>
        <w:rPr>
          <w:rFonts w:ascii="仿宋" w:eastAsia="仿宋" w:hAnsi="仿宋" w:hint="eastAsia"/>
          <w:sz w:val="32"/>
          <w:szCs w:val="32"/>
        </w:rPr>
        <w:t>万元，占</w:t>
      </w:r>
      <w:r>
        <w:rPr>
          <w:rFonts w:ascii="仿宋" w:eastAsia="仿宋" w:hAnsi="仿宋" w:hint="eastAsia"/>
          <w:sz w:val="32"/>
          <w:szCs w:val="32"/>
        </w:rPr>
        <w:t>6.02</w:t>
      </w:r>
      <w:r>
        <w:rPr>
          <w:rFonts w:ascii="仿宋" w:eastAsia="仿宋" w:hAnsi="仿宋"/>
          <w:sz w:val="32"/>
          <w:szCs w:val="32"/>
        </w:rPr>
        <w:t>%</w:t>
      </w:r>
      <w:r>
        <w:rPr>
          <w:rFonts w:ascii="仿宋" w:eastAsia="仿宋" w:hAnsi="仿宋" w:hint="eastAsia"/>
          <w:sz w:val="32"/>
          <w:szCs w:val="32"/>
        </w:rPr>
        <w:t>。</w:t>
      </w:r>
      <w:bookmarkEnd w:id="33"/>
    </w:p>
    <w:p w:rsidR="00FD3477" w:rsidRDefault="00B3617E">
      <w:pPr>
        <w:spacing w:line="56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3</w:t>
      </w:r>
      <w:r>
        <w:rPr>
          <w:rFonts w:ascii="仿宋" w:eastAsia="仿宋" w:hAnsi="仿宋" w:hint="eastAsia"/>
          <w:sz w:val="32"/>
          <w:szCs w:val="32"/>
        </w:rPr>
        <w:t>：支出决算结构图）</w:t>
      </w:r>
    </w:p>
    <w:p w:rsidR="00FD3477" w:rsidRDefault="00B3617E">
      <w:pPr>
        <w:pStyle w:val="a0"/>
        <w:spacing w:before="93"/>
      </w:pPr>
      <w:r>
        <w:rPr>
          <w:noProof/>
        </w:rPr>
        <w:drawing>
          <wp:inline distT="0" distB="0" distL="0" distR="0">
            <wp:extent cx="4558665" cy="2486025"/>
            <wp:effectExtent l="19050" t="0" r="13285" b="8908"/>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D3477" w:rsidRDefault="00B3617E">
      <w:pPr>
        <w:spacing w:line="600" w:lineRule="exact"/>
        <w:ind w:firstLineChars="200" w:firstLine="640"/>
        <w:outlineLvl w:val="1"/>
        <w:rPr>
          <w:rStyle w:val="20"/>
          <w:rFonts w:ascii="黑体" w:eastAsia="黑体" w:hAnsi="黑体"/>
          <w:b w:val="0"/>
        </w:rPr>
      </w:pPr>
      <w:bookmarkStart w:id="34" w:name="_Toc15377208"/>
      <w:bookmarkStart w:id="35" w:name="_Toc15396606"/>
      <w:bookmarkStart w:id="36" w:name="_Toc11797"/>
      <w:r>
        <w:rPr>
          <w:rFonts w:ascii="黑体" w:eastAsia="黑体" w:hAnsi="黑体" w:hint="eastAsia"/>
          <w:sz w:val="32"/>
          <w:szCs w:val="32"/>
        </w:rPr>
        <w:t>四、财</w:t>
      </w:r>
      <w:r>
        <w:rPr>
          <w:rStyle w:val="20"/>
          <w:rFonts w:ascii="黑体" w:eastAsia="黑体" w:hAnsi="黑体" w:hint="eastAsia"/>
          <w:b w:val="0"/>
        </w:rPr>
        <w:t>政拨款收入支出决算总体情况说明</w:t>
      </w:r>
      <w:bookmarkEnd w:id="34"/>
      <w:bookmarkEnd w:id="35"/>
      <w:bookmarkEnd w:id="36"/>
    </w:p>
    <w:p w:rsidR="00FD3477" w:rsidRDefault="00B3617E">
      <w:pPr>
        <w:spacing w:line="560" w:lineRule="exact"/>
        <w:ind w:firstLine="64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年财政拨款收、支总计</w:t>
      </w:r>
      <w:r>
        <w:rPr>
          <w:rFonts w:ascii="仿宋" w:eastAsia="仿宋" w:hAnsi="仿宋"/>
          <w:sz w:val="32"/>
          <w:szCs w:val="32"/>
        </w:rPr>
        <w:t>336.13</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年相比，财政拨款收、支总计各增加</w:t>
      </w:r>
      <w:r>
        <w:rPr>
          <w:rFonts w:ascii="仿宋" w:eastAsia="仿宋" w:hAnsi="仿宋" w:hint="eastAsia"/>
          <w:sz w:val="32"/>
          <w:szCs w:val="32"/>
        </w:rPr>
        <w:t>3.37</w:t>
      </w:r>
      <w:r>
        <w:rPr>
          <w:rFonts w:ascii="仿宋" w:eastAsia="仿宋" w:hAnsi="仿宋" w:hint="eastAsia"/>
          <w:sz w:val="32"/>
          <w:szCs w:val="32"/>
        </w:rPr>
        <w:t>万元，增长</w:t>
      </w:r>
      <w:r>
        <w:rPr>
          <w:rFonts w:ascii="仿宋" w:eastAsia="仿宋" w:hAnsi="仿宋" w:hint="eastAsia"/>
          <w:sz w:val="32"/>
          <w:szCs w:val="32"/>
        </w:rPr>
        <w:t>1.01</w:t>
      </w:r>
      <w:r>
        <w:rPr>
          <w:rFonts w:ascii="仿宋" w:eastAsia="仿宋" w:hAnsi="仿宋"/>
          <w:sz w:val="32"/>
          <w:szCs w:val="32"/>
        </w:rPr>
        <w:t>%</w:t>
      </w:r>
      <w:r>
        <w:rPr>
          <w:rFonts w:ascii="仿宋" w:eastAsia="仿宋" w:hAnsi="仿宋" w:hint="eastAsia"/>
          <w:sz w:val="32"/>
          <w:szCs w:val="32"/>
        </w:rPr>
        <w:t>。变动主要原因是人员正常增资及项目增加。</w:t>
      </w:r>
    </w:p>
    <w:p w:rsidR="00FD3477" w:rsidRDefault="00B3617E">
      <w:pPr>
        <w:spacing w:line="560" w:lineRule="exact"/>
        <w:ind w:firstLine="641"/>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4</w:t>
      </w:r>
      <w:r>
        <w:rPr>
          <w:rFonts w:ascii="仿宋" w:eastAsia="仿宋" w:hAnsi="仿宋" w:hint="eastAsia"/>
          <w:sz w:val="32"/>
          <w:szCs w:val="32"/>
        </w:rPr>
        <w:t>：财政拨款收、支决算总计变动情况）</w:t>
      </w:r>
    </w:p>
    <w:tbl>
      <w:tblPr>
        <w:tblW w:w="7972" w:type="dxa"/>
        <w:tblInd w:w="108" w:type="dxa"/>
        <w:tblLook w:val="04A0" w:firstRow="1" w:lastRow="0" w:firstColumn="1" w:lastColumn="0" w:noHBand="0" w:noVBand="1"/>
      </w:tblPr>
      <w:tblGrid>
        <w:gridCol w:w="1776"/>
        <w:gridCol w:w="976"/>
        <w:gridCol w:w="340"/>
        <w:gridCol w:w="636"/>
        <w:gridCol w:w="340"/>
        <w:gridCol w:w="636"/>
        <w:gridCol w:w="340"/>
        <w:gridCol w:w="636"/>
        <w:gridCol w:w="340"/>
        <w:gridCol w:w="636"/>
        <w:gridCol w:w="340"/>
        <w:gridCol w:w="976"/>
      </w:tblGrid>
      <w:tr w:rsidR="00FD3477">
        <w:trPr>
          <w:trHeight w:val="288"/>
        </w:trPr>
        <w:tc>
          <w:tcPr>
            <w:tcW w:w="17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bl>
            <w:tblPr>
              <w:tblW w:w="0" w:type="auto"/>
              <w:tblCellSpacing w:w="0" w:type="dxa"/>
              <w:tblCellMar>
                <w:left w:w="0" w:type="dxa"/>
                <w:right w:w="0" w:type="dxa"/>
              </w:tblCellMar>
              <w:tblLook w:val="04A0" w:firstRow="1" w:lastRow="0" w:firstColumn="1" w:lastColumn="0" w:noHBand="0" w:noVBand="1"/>
            </w:tblPr>
            <w:tblGrid>
              <w:gridCol w:w="1560"/>
            </w:tblGrid>
            <w:tr w:rsidR="00FD3477">
              <w:trPr>
                <w:trHeight w:val="288"/>
                <w:tblCellSpacing w:w="0" w:type="dxa"/>
              </w:trPr>
              <w:tc>
                <w:tcPr>
                  <w:tcW w:w="1560"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bl>
          <w:p w:rsidR="00FD3477" w:rsidRDefault="00FD3477">
            <w:pPr>
              <w:widowControl/>
              <w:jc w:val="left"/>
              <w:rPr>
                <w:rFonts w:ascii="宋体" w:hAnsi="宋体" w:cs="宋体"/>
                <w:color w:val="000000"/>
                <w:kern w:val="0"/>
                <w:sz w:val="22"/>
                <w:szCs w:val="22"/>
              </w:rPr>
            </w:pPr>
          </w:p>
        </w:tc>
        <w:tc>
          <w:tcPr>
            <w:tcW w:w="131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r w:rsidR="00FD3477">
        <w:trPr>
          <w:gridAfter w:val="2"/>
          <w:wAfter w:w="1316" w:type="dxa"/>
          <w:trHeight w:val="288"/>
        </w:trPr>
        <w:tc>
          <w:tcPr>
            <w:tcW w:w="1776" w:type="dxa"/>
            <w:tcBorders>
              <w:top w:val="nil"/>
              <w:left w:val="nil"/>
              <w:bottom w:val="nil"/>
              <w:right w:val="nil"/>
            </w:tcBorders>
            <w:shd w:val="clear" w:color="auto" w:fill="auto"/>
            <w:noWrap/>
            <w:vAlign w:val="center"/>
          </w:tcPr>
          <w:p w:rsidR="00FD3477" w:rsidRDefault="00B3617E">
            <w:pPr>
              <w:widowControl/>
              <w:jc w:val="left"/>
              <w:rPr>
                <w:rFonts w:ascii="宋体" w:hAnsi="宋体" w:cs="宋体"/>
                <w:color w:val="000000"/>
                <w:kern w:val="0"/>
                <w:sz w:val="22"/>
                <w:szCs w:val="22"/>
              </w:rPr>
            </w:pPr>
            <w:r>
              <w:rPr>
                <w:rFonts w:ascii="宋体" w:hAnsi="宋体" w:cs="宋体"/>
                <w:noProof/>
                <w:color w:val="000000"/>
                <w:kern w:val="0"/>
                <w:sz w:val="22"/>
                <w:szCs w:val="22"/>
              </w:rPr>
              <w:lastRenderedPageBreak/>
              <w:drawing>
                <wp:anchor distT="0" distB="0" distL="114300" distR="114300" simplePos="0" relativeHeight="251657728" behindDoc="0" locked="0" layoutInCell="1" allowOverlap="1">
                  <wp:simplePos x="0" y="0"/>
                  <wp:positionH relativeFrom="column">
                    <wp:posOffset>599440</wp:posOffset>
                  </wp:positionH>
                  <wp:positionV relativeFrom="paragraph">
                    <wp:posOffset>19685</wp:posOffset>
                  </wp:positionV>
                  <wp:extent cx="4445635" cy="2387600"/>
                  <wp:effectExtent l="19050" t="0" r="12065" b="0"/>
                  <wp:wrapNone/>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r w:rsidR="00FD3477">
        <w:trPr>
          <w:gridAfter w:val="2"/>
          <w:wAfter w:w="1316" w:type="dxa"/>
          <w:trHeight w:val="288"/>
        </w:trPr>
        <w:tc>
          <w:tcPr>
            <w:tcW w:w="17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bottom"/>
          </w:tcPr>
          <w:p w:rsidR="00FD3477" w:rsidRDefault="00FD3477">
            <w:pPr>
              <w:widowControl/>
              <w:jc w:val="right"/>
              <w:rPr>
                <w:rFonts w:ascii="Arial" w:hAnsi="Arial" w:cs="Arial"/>
                <w:color w:val="000000"/>
                <w:kern w:val="0"/>
                <w:sz w:val="20"/>
                <w:szCs w:val="20"/>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r w:rsidR="00FD3477">
        <w:trPr>
          <w:gridAfter w:val="2"/>
          <w:wAfter w:w="1316" w:type="dxa"/>
          <w:trHeight w:val="288"/>
        </w:trPr>
        <w:tc>
          <w:tcPr>
            <w:tcW w:w="17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bottom"/>
          </w:tcPr>
          <w:p w:rsidR="00FD3477" w:rsidRDefault="00FD3477">
            <w:pPr>
              <w:widowControl/>
              <w:jc w:val="right"/>
              <w:rPr>
                <w:rFonts w:ascii="Arial" w:hAnsi="Arial" w:cs="Arial"/>
                <w:color w:val="000000"/>
                <w:kern w:val="0"/>
                <w:sz w:val="20"/>
                <w:szCs w:val="20"/>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r w:rsidR="00FD3477">
        <w:trPr>
          <w:gridAfter w:val="2"/>
          <w:wAfter w:w="1316" w:type="dxa"/>
          <w:trHeight w:val="288"/>
        </w:trPr>
        <w:tc>
          <w:tcPr>
            <w:tcW w:w="17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r w:rsidR="00FD3477">
        <w:trPr>
          <w:trHeight w:val="288"/>
        </w:trPr>
        <w:tc>
          <w:tcPr>
            <w:tcW w:w="17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r w:rsidR="00FD3477">
        <w:trPr>
          <w:trHeight w:val="288"/>
        </w:trPr>
        <w:tc>
          <w:tcPr>
            <w:tcW w:w="17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r w:rsidR="00FD3477">
        <w:trPr>
          <w:trHeight w:val="288"/>
        </w:trPr>
        <w:tc>
          <w:tcPr>
            <w:tcW w:w="17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r w:rsidR="00FD3477">
        <w:trPr>
          <w:trHeight w:val="288"/>
        </w:trPr>
        <w:tc>
          <w:tcPr>
            <w:tcW w:w="17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r w:rsidR="00FD3477">
        <w:trPr>
          <w:trHeight w:val="288"/>
        </w:trPr>
        <w:tc>
          <w:tcPr>
            <w:tcW w:w="17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r w:rsidR="00FD3477">
        <w:trPr>
          <w:trHeight w:val="288"/>
        </w:trPr>
        <w:tc>
          <w:tcPr>
            <w:tcW w:w="17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r w:rsidR="00FD3477">
        <w:trPr>
          <w:trHeight w:val="288"/>
        </w:trPr>
        <w:tc>
          <w:tcPr>
            <w:tcW w:w="17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r w:rsidR="00FD3477">
        <w:trPr>
          <w:trHeight w:val="288"/>
        </w:trPr>
        <w:tc>
          <w:tcPr>
            <w:tcW w:w="17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r w:rsidR="00FD3477">
        <w:trPr>
          <w:trHeight w:val="288"/>
        </w:trPr>
        <w:tc>
          <w:tcPr>
            <w:tcW w:w="17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r w:rsidR="00FD3477">
        <w:trPr>
          <w:trHeight w:val="288"/>
        </w:trPr>
        <w:tc>
          <w:tcPr>
            <w:tcW w:w="17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131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gridSpan w:val="2"/>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bl>
    <w:p w:rsidR="00FD3477" w:rsidRDefault="00B3617E">
      <w:pPr>
        <w:spacing w:line="600" w:lineRule="exact"/>
        <w:ind w:firstLineChars="200" w:firstLine="640"/>
        <w:outlineLvl w:val="1"/>
        <w:rPr>
          <w:rStyle w:val="20"/>
          <w:rFonts w:ascii="黑体" w:eastAsia="黑体" w:hAnsi="黑体"/>
          <w:b w:val="0"/>
        </w:rPr>
      </w:pPr>
      <w:bookmarkStart w:id="37" w:name="_Toc15396607"/>
      <w:bookmarkStart w:id="38" w:name="_Toc15377209"/>
      <w:bookmarkStart w:id="39" w:name="_Toc508"/>
      <w:r>
        <w:rPr>
          <w:rFonts w:ascii="黑体" w:eastAsia="黑体" w:hAnsi="黑体" w:hint="eastAsia"/>
          <w:sz w:val="32"/>
          <w:szCs w:val="32"/>
        </w:rPr>
        <w:t>五、</w:t>
      </w:r>
      <w:r>
        <w:rPr>
          <w:rFonts w:ascii="黑体" w:eastAsia="黑体" w:hAnsi="黑体" w:hint="eastAsia"/>
          <w:b/>
          <w:sz w:val="32"/>
          <w:szCs w:val="32"/>
        </w:rPr>
        <w:t>一</w:t>
      </w:r>
      <w:r>
        <w:rPr>
          <w:rStyle w:val="20"/>
          <w:rFonts w:ascii="黑体" w:eastAsia="黑体" w:hAnsi="黑体" w:hint="eastAsia"/>
          <w:b w:val="0"/>
        </w:rPr>
        <w:t>般公共预算财政拨款支出决算情况说明</w:t>
      </w:r>
      <w:bookmarkEnd w:id="37"/>
      <w:bookmarkEnd w:id="38"/>
      <w:bookmarkEnd w:id="39"/>
    </w:p>
    <w:p w:rsidR="00FD3477" w:rsidRDefault="00B3617E">
      <w:pPr>
        <w:spacing w:line="600" w:lineRule="exact"/>
        <w:ind w:firstLineChars="200" w:firstLine="643"/>
        <w:outlineLvl w:val="2"/>
        <w:rPr>
          <w:rFonts w:ascii="仿宋" w:eastAsia="仿宋" w:hAnsi="仿宋"/>
          <w:b/>
          <w:sz w:val="32"/>
          <w:szCs w:val="32"/>
        </w:rPr>
      </w:pPr>
      <w:bookmarkStart w:id="40" w:name="_Toc15377210"/>
      <w:r>
        <w:rPr>
          <w:rFonts w:ascii="仿宋" w:eastAsia="仿宋" w:hAnsi="仿宋" w:hint="eastAsia"/>
          <w:b/>
          <w:sz w:val="32"/>
          <w:szCs w:val="32"/>
        </w:rPr>
        <w:t>（一）一般公共预算财政拨款支出决算总体情况</w:t>
      </w:r>
      <w:bookmarkEnd w:id="40"/>
    </w:p>
    <w:p w:rsidR="00FD3477" w:rsidRDefault="00B3617E">
      <w:pPr>
        <w:spacing w:line="56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sz w:val="32"/>
          <w:szCs w:val="32"/>
        </w:rPr>
        <w:t>336.13</w:t>
      </w:r>
      <w:r>
        <w:rPr>
          <w:rFonts w:ascii="仿宋" w:eastAsia="仿宋" w:hAnsi="仿宋" w:hint="eastAsia"/>
          <w:sz w:val="32"/>
          <w:szCs w:val="32"/>
        </w:rPr>
        <w:t>万元，占本年支出合计的</w:t>
      </w:r>
      <w:r>
        <w:rPr>
          <w:rFonts w:ascii="仿宋" w:eastAsia="仿宋" w:hAnsi="仿宋" w:hint="eastAsia"/>
          <w:sz w:val="32"/>
          <w:szCs w:val="32"/>
        </w:rPr>
        <w:t>99.2</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年相比，一般公共预算财政拨款支出增加</w:t>
      </w:r>
      <w:r>
        <w:rPr>
          <w:rFonts w:ascii="仿宋" w:eastAsia="仿宋" w:hAnsi="仿宋" w:hint="eastAsia"/>
          <w:sz w:val="32"/>
          <w:szCs w:val="32"/>
        </w:rPr>
        <w:t>3.37</w:t>
      </w:r>
      <w:r>
        <w:rPr>
          <w:rFonts w:ascii="仿宋" w:eastAsia="仿宋" w:hAnsi="仿宋" w:hint="eastAsia"/>
          <w:sz w:val="32"/>
          <w:szCs w:val="32"/>
        </w:rPr>
        <w:t>万元，增长</w:t>
      </w:r>
      <w:r>
        <w:rPr>
          <w:rFonts w:ascii="仿宋" w:eastAsia="仿宋" w:hAnsi="仿宋" w:hint="eastAsia"/>
          <w:sz w:val="32"/>
          <w:szCs w:val="32"/>
        </w:rPr>
        <w:t>1.01</w:t>
      </w:r>
      <w:r>
        <w:rPr>
          <w:rFonts w:ascii="仿宋" w:eastAsia="仿宋" w:hAnsi="仿宋"/>
          <w:sz w:val="32"/>
          <w:szCs w:val="32"/>
        </w:rPr>
        <w:t>%</w:t>
      </w:r>
      <w:r>
        <w:rPr>
          <w:rFonts w:ascii="仿宋" w:eastAsia="仿宋" w:hAnsi="仿宋" w:hint="eastAsia"/>
          <w:sz w:val="32"/>
          <w:szCs w:val="32"/>
        </w:rPr>
        <w:t>。主要变动原因是人员正常增资及项目增加。</w:t>
      </w:r>
    </w:p>
    <w:p w:rsidR="00FD3477" w:rsidRDefault="00B3617E">
      <w:pPr>
        <w:spacing w:line="560" w:lineRule="exact"/>
        <w:ind w:firstLineChars="200" w:firstLine="600"/>
        <w:rPr>
          <w:rFonts w:ascii="仿宋" w:eastAsia="仿宋" w:hAnsi="仿宋"/>
          <w:sz w:val="30"/>
          <w:szCs w:val="30"/>
        </w:rPr>
      </w:pPr>
      <w:r>
        <w:rPr>
          <w:rFonts w:ascii="仿宋" w:eastAsia="仿宋" w:hAnsi="仿宋" w:hint="eastAsia"/>
          <w:sz w:val="30"/>
          <w:szCs w:val="30"/>
        </w:rPr>
        <w:t>（图</w:t>
      </w:r>
      <w:r>
        <w:rPr>
          <w:rFonts w:ascii="仿宋" w:eastAsia="仿宋" w:hAnsi="仿宋" w:hint="eastAsia"/>
          <w:sz w:val="30"/>
          <w:szCs w:val="30"/>
        </w:rPr>
        <w:t>5</w:t>
      </w:r>
      <w:r>
        <w:rPr>
          <w:rFonts w:ascii="仿宋" w:eastAsia="仿宋" w:hAnsi="仿宋" w:hint="eastAsia"/>
          <w:sz w:val="30"/>
          <w:szCs w:val="30"/>
        </w:rPr>
        <w:t>：一般公共预算财政拨款支出决算变动情况）</w:t>
      </w:r>
    </w:p>
    <w:tbl>
      <w:tblPr>
        <w:tblW w:w="7840" w:type="dxa"/>
        <w:tblInd w:w="108" w:type="dxa"/>
        <w:tblLook w:val="04A0" w:firstRow="1" w:lastRow="0" w:firstColumn="1" w:lastColumn="0" w:noHBand="0" w:noVBand="1"/>
      </w:tblPr>
      <w:tblGrid>
        <w:gridCol w:w="2356"/>
        <w:gridCol w:w="2556"/>
        <w:gridCol w:w="976"/>
        <w:gridCol w:w="976"/>
        <w:gridCol w:w="976"/>
      </w:tblGrid>
      <w:tr w:rsidR="00FD3477">
        <w:trPr>
          <w:trHeight w:val="288"/>
        </w:trPr>
        <w:tc>
          <w:tcPr>
            <w:tcW w:w="2356" w:type="dxa"/>
            <w:tcBorders>
              <w:top w:val="nil"/>
              <w:left w:val="nil"/>
              <w:bottom w:val="nil"/>
              <w:right w:val="nil"/>
            </w:tcBorders>
            <w:shd w:val="clear" w:color="auto" w:fill="auto"/>
            <w:noWrap/>
            <w:vAlign w:val="center"/>
          </w:tcPr>
          <w:p w:rsidR="00FD3477" w:rsidRDefault="00B3617E">
            <w:pPr>
              <w:widowControl/>
              <w:jc w:val="left"/>
              <w:rPr>
                <w:rFonts w:ascii="宋体" w:hAnsi="宋体" w:cs="宋体"/>
                <w:color w:val="000000"/>
                <w:kern w:val="0"/>
                <w:sz w:val="22"/>
                <w:szCs w:val="22"/>
              </w:rPr>
            </w:pPr>
            <w:r>
              <w:rPr>
                <w:rFonts w:ascii="宋体" w:hAnsi="宋体" w:cs="宋体"/>
                <w:noProof/>
                <w:color w:val="000000"/>
                <w:kern w:val="0"/>
                <w:sz w:val="22"/>
                <w:szCs w:val="22"/>
              </w:rPr>
              <w:drawing>
                <wp:anchor distT="0" distB="0" distL="114300" distR="114300" simplePos="0" relativeHeight="251658752" behindDoc="0" locked="0" layoutInCell="1" allowOverlap="1">
                  <wp:simplePos x="0" y="0"/>
                  <wp:positionH relativeFrom="column">
                    <wp:posOffset>112395</wp:posOffset>
                  </wp:positionH>
                  <wp:positionV relativeFrom="paragraph">
                    <wp:posOffset>72390</wp:posOffset>
                  </wp:positionV>
                  <wp:extent cx="4654550" cy="2499360"/>
                  <wp:effectExtent l="19050" t="0" r="12700" b="0"/>
                  <wp:wrapNone/>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2140"/>
            </w:tblGrid>
            <w:tr w:rsidR="00FD3477">
              <w:trPr>
                <w:trHeight w:val="288"/>
                <w:tblCellSpacing w:w="0" w:type="dxa"/>
              </w:trPr>
              <w:tc>
                <w:tcPr>
                  <w:tcW w:w="2140"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bl>
          <w:p w:rsidR="00FD3477" w:rsidRDefault="00FD3477">
            <w:pPr>
              <w:widowControl/>
              <w:jc w:val="left"/>
              <w:rPr>
                <w:rFonts w:ascii="宋体" w:hAnsi="宋体" w:cs="宋体"/>
                <w:color w:val="000000"/>
                <w:kern w:val="0"/>
                <w:sz w:val="22"/>
                <w:szCs w:val="22"/>
              </w:rPr>
            </w:pPr>
          </w:p>
        </w:tc>
        <w:tc>
          <w:tcPr>
            <w:tcW w:w="255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r w:rsidR="00FD3477">
        <w:trPr>
          <w:trHeight w:val="288"/>
        </w:trPr>
        <w:tc>
          <w:tcPr>
            <w:tcW w:w="235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255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r w:rsidR="00FD3477">
        <w:trPr>
          <w:trHeight w:val="288"/>
        </w:trPr>
        <w:tc>
          <w:tcPr>
            <w:tcW w:w="235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255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r w:rsidR="00FD3477">
        <w:trPr>
          <w:trHeight w:val="288"/>
        </w:trPr>
        <w:tc>
          <w:tcPr>
            <w:tcW w:w="235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255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r w:rsidR="00FD3477">
        <w:trPr>
          <w:trHeight w:val="288"/>
        </w:trPr>
        <w:tc>
          <w:tcPr>
            <w:tcW w:w="235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255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r w:rsidR="00FD3477">
        <w:trPr>
          <w:trHeight w:val="288"/>
        </w:trPr>
        <w:tc>
          <w:tcPr>
            <w:tcW w:w="235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255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r w:rsidR="00FD3477">
        <w:trPr>
          <w:trHeight w:val="288"/>
        </w:trPr>
        <w:tc>
          <w:tcPr>
            <w:tcW w:w="235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255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r w:rsidR="00FD3477">
        <w:trPr>
          <w:trHeight w:val="288"/>
        </w:trPr>
        <w:tc>
          <w:tcPr>
            <w:tcW w:w="235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255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r w:rsidR="00FD3477">
        <w:trPr>
          <w:trHeight w:val="288"/>
        </w:trPr>
        <w:tc>
          <w:tcPr>
            <w:tcW w:w="235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255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r w:rsidR="00FD3477">
        <w:trPr>
          <w:trHeight w:val="288"/>
        </w:trPr>
        <w:tc>
          <w:tcPr>
            <w:tcW w:w="235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255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r w:rsidR="00FD3477">
        <w:trPr>
          <w:trHeight w:val="288"/>
        </w:trPr>
        <w:tc>
          <w:tcPr>
            <w:tcW w:w="235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255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r w:rsidR="00FD3477">
        <w:trPr>
          <w:trHeight w:val="288"/>
        </w:trPr>
        <w:tc>
          <w:tcPr>
            <w:tcW w:w="235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255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r w:rsidR="00FD3477">
        <w:trPr>
          <w:trHeight w:val="288"/>
        </w:trPr>
        <w:tc>
          <w:tcPr>
            <w:tcW w:w="235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255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c>
          <w:tcPr>
            <w:tcW w:w="976" w:type="dxa"/>
            <w:tcBorders>
              <w:top w:val="nil"/>
              <w:left w:val="nil"/>
              <w:bottom w:val="nil"/>
              <w:right w:val="nil"/>
            </w:tcBorders>
            <w:shd w:val="clear" w:color="auto" w:fill="auto"/>
            <w:noWrap/>
            <w:vAlign w:val="center"/>
          </w:tcPr>
          <w:p w:rsidR="00FD3477" w:rsidRDefault="00FD3477">
            <w:pPr>
              <w:widowControl/>
              <w:jc w:val="left"/>
              <w:rPr>
                <w:rFonts w:ascii="宋体" w:hAnsi="宋体" w:cs="宋体"/>
                <w:color w:val="000000"/>
                <w:kern w:val="0"/>
                <w:sz w:val="22"/>
                <w:szCs w:val="22"/>
              </w:rPr>
            </w:pPr>
          </w:p>
        </w:tc>
      </w:tr>
    </w:tbl>
    <w:p w:rsidR="00FD3477" w:rsidRDefault="00B3617E">
      <w:pPr>
        <w:spacing w:line="600" w:lineRule="exact"/>
        <w:ind w:firstLineChars="200" w:firstLine="643"/>
        <w:outlineLvl w:val="2"/>
        <w:rPr>
          <w:rFonts w:ascii="仿宋" w:eastAsia="仿宋" w:hAnsi="仿宋"/>
          <w:b/>
          <w:sz w:val="32"/>
          <w:szCs w:val="32"/>
        </w:rPr>
      </w:pPr>
      <w:bookmarkStart w:id="41" w:name="_Toc15377211"/>
      <w:r>
        <w:rPr>
          <w:rFonts w:ascii="仿宋" w:eastAsia="仿宋" w:hAnsi="仿宋" w:hint="eastAsia"/>
          <w:b/>
          <w:sz w:val="32"/>
          <w:szCs w:val="32"/>
        </w:rPr>
        <w:t>（二）一般公共预算财政拨款支出决算结构情况</w:t>
      </w:r>
      <w:bookmarkEnd w:id="41"/>
    </w:p>
    <w:p w:rsidR="00FD3477" w:rsidRDefault="00B3617E">
      <w:pPr>
        <w:spacing w:line="560" w:lineRule="exact"/>
        <w:ind w:firstLine="641"/>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sz w:val="32"/>
          <w:szCs w:val="32"/>
        </w:rPr>
        <w:t>336.13</w:t>
      </w:r>
      <w:r>
        <w:rPr>
          <w:rFonts w:ascii="仿宋" w:eastAsia="仿宋" w:hAnsi="仿宋" w:hint="eastAsia"/>
          <w:sz w:val="32"/>
          <w:szCs w:val="32"/>
        </w:rPr>
        <w:t>万元，主要</w:t>
      </w:r>
      <w:r>
        <w:rPr>
          <w:rFonts w:ascii="仿宋" w:eastAsia="仿宋" w:hAnsi="仿宋" w:hint="eastAsia"/>
          <w:sz w:val="32"/>
          <w:szCs w:val="32"/>
        </w:rPr>
        <w:lastRenderedPageBreak/>
        <w:t>用于以下方面</w:t>
      </w:r>
      <w:r w:rsidR="007626F7" w:rsidRPr="007626F7">
        <w:rPr>
          <w:rFonts w:ascii="仿宋" w:eastAsia="仿宋" w:hAnsi="仿宋" w:hint="eastAsia"/>
          <w:sz w:val="32"/>
          <w:szCs w:val="32"/>
          <w:u w:color="46CD7E"/>
        </w:rPr>
        <w:t>：</w:t>
      </w:r>
      <w:r>
        <w:rPr>
          <w:rFonts w:ascii="仿宋" w:eastAsia="仿宋" w:hAnsi="仿宋" w:hint="eastAsia"/>
          <w:b/>
          <w:sz w:val="32"/>
          <w:szCs w:val="32"/>
        </w:rPr>
        <w:t>一般公共服务（类）</w:t>
      </w:r>
      <w:r>
        <w:rPr>
          <w:rFonts w:ascii="仿宋" w:eastAsia="仿宋" w:hAnsi="仿宋" w:hint="eastAsia"/>
          <w:sz w:val="32"/>
          <w:szCs w:val="32"/>
        </w:rPr>
        <w:t>支出</w:t>
      </w:r>
      <w:r>
        <w:rPr>
          <w:rFonts w:ascii="仿宋" w:eastAsia="仿宋" w:hAnsi="仿宋" w:hint="eastAsia"/>
          <w:sz w:val="32"/>
          <w:szCs w:val="32"/>
        </w:rPr>
        <w:t>2</w:t>
      </w:r>
      <w:r>
        <w:rPr>
          <w:rFonts w:ascii="仿宋" w:eastAsia="仿宋" w:hAnsi="仿宋" w:hint="eastAsia"/>
          <w:sz w:val="32"/>
          <w:szCs w:val="32"/>
        </w:rPr>
        <w:t>万元，占</w:t>
      </w:r>
      <w:r>
        <w:rPr>
          <w:rFonts w:ascii="仿宋" w:eastAsia="仿宋" w:hAnsi="仿宋" w:hint="eastAsia"/>
          <w:sz w:val="32"/>
          <w:szCs w:val="32"/>
        </w:rPr>
        <w:t>0.6</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w:t>
      </w:r>
      <w:r>
        <w:rPr>
          <w:rFonts w:ascii="仿宋" w:eastAsia="仿宋" w:hAnsi="仿宋" w:hint="eastAsia"/>
          <w:sz w:val="32"/>
          <w:szCs w:val="32"/>
        </w:rPr>
        <w:t>38.2</w:t>
      </w:r>
      <w:r>
        <w:rPr>
          <w:rFonts w:ascii="仿宋" w:eastAsia="仿宋" w:hAnsi="仿宋" w:hint="eastAsia"/>
          <w:sz w:val="32"/>
          <w:szCs w:val="32"/>
        </w:rPr>
        <w:t>万元，占</w:t>
      </w:r>
      <w:r>
        <w:rPr>
          <w:rFonts w:ascii="仿宋" w:eastAsia="仿宋" w:hAnsi="仿宋" w:hint="eastAsia"/>
          <w:sz w:val="32"/>
          <w:szCs w:val="32"/>
        </w:rPr>
        <w:t>11.36</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卫生健康支出（类）</w:t>
      </w:r>
      <w:r>
        <w:rPr>
          <w:rFonts w:ascii="仿宋" w:eastAsia="仿宋" w:hAnsi="仿宋" w:hint="eastAsia"/>
          <w:sz w:val="32"/>
          <w:szCs w:val="32"/>
        </w:rPr>
        <w:t>15.96</w:t>
      </w:r>
      <w:r>
        <w:rPr>
          <w:rFonts w:ascii="仿宋" w:eastAsia="仿宋" w:hAnsi="仿宋" w:hint="eastAsia"/>
          <w:sz w:val="32"/>
          <w:szCs w:val="32"/>
        </w:rPr>
        <w:t>万元，占</w:t>
      </w:r>
      <w:r>
        <w:rPr>
          <w:rFonts w:ascii="仿宋" w:eastAsia="仿宋" w:hAnsi="仿宋" w:hint="eastAsia"/>
          <w:sz w:val="32"/>
          <w:szCs w:val="32"/>
        </w:rPr>
        <w:t>4.75</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农林水支出（类）</w:t>
      </w:r>
      <w:r>
        <w:rPr>
          <w:rFonts w:ascii="仿宋" w:eastAsia="仿宋" w:hAnsi="仿宋"/>
          <w:sz w:val="32"/>
          <w:szCs w:val="32"/>
        </w:rPr>
        <w:t>261.41</w:t>
      </w:r>
      <w:r>
        <w:rPr>
          <w:rFonts w:ascii="仿宋" w:eastAsia="仿宋" w:hAnsi="仿宋" w:hint="eastAsia"/>
          <w:sz w:val="32"/>
          <w:szCs w:val="32"/>
        </w:rPr>
        <w:t>万元，占</w:t>
      </w:r>
      <w:r>
        <w:rPr>
          <w:rFonts w:ascii="仿宋" w:eastAsia="仿宋" w:hAnsi="仿宋" w:hint="eastAsia"/>
          <w:sz w:val="32"/>
          <w:szCs w:val="32"/>
        </w:rPr>
        <w:t>77.77</w:t>
      </w:r>
      <w:r>
        <w:rPr>
          <w:rFonts w:ascii="仿宋" w:eastAsia="仿宋" w:hAnsi="仿宋"/>
          <w:sz w:val="32"/>
          <w:szCs w:val="32"/>
        </w:rPr>
        <w:t>%</w:t>
      </w:r>
      <w:r>
        <w:rPr>
          <w:rFonts w:ascii="仿宋" w:eastAsia="仿宋" w:hAnsi="仿宋" w:hint="eastAsia"/>
          <w:sz w:val="32"/>
          <w:szCs w:val="32"/>
        </w:rPr>
        <w:t>；住房保障支出</w:t>
      </w:r>
      <w:r>
        <w:rPr>
          <w:rFonts w:ascii="仿宋" w:eastAsia="仿宋" w:hAnsi="仿宋" w:hint="eastAsia"/>
          <w:sz w:val="32"/>
          <w:szCs w:val="32"/>
        </w:rPr>
        <w:t>18.55</w:t>
      </w:r>
      <w:r>
        <w:rPr>
          <w:rFonts w:ascii="仿宋" w:eastAsia="仿宋" w:hAnsi="仿宋" w:hint="eastAsia"/>
          <w:sz w:val="32"/>
          <w:szCs w:val="32"/>
        </w:rPr>
        <w:t>万元，占</w:t>
      </w:r>
      <w:r>
        <w:rPr>
          <w:rFonts w:ascii="仿宋" w:eastAsia="仿宋" w:hAnsi="仿宋" w:hint="eastAsia"/>
          <w:sz w:val="32"/>
          <w:szCs w:val="32"/>
        </w:rPr>
        <w:t>5.52</w:t>
      </w:r>
      <w:r>
        <w:rPr>
          <w:rFonts w:ascii="仿宋" w:eastAsia="仿宋" w:hAnsi="仿宋"/>
          <w:sz w:val="32"/>
          <w:szCs w:val="32"/>
        </w:rPr>
        <w:t>%</w:t>
      </w:r>
      <w:r>
        <w:rPr>
          <w:rFonts w:ascii="仿宋" w:eastAsia="仿宋" w:hAnsi="仿宋" w:hint="eastAsia"/>
          <w:sz w:val="32"/>
          <w:szCs w:val="32"/>
        </w:rPr>
        <w:t>。</w:t>
      </w:r>
    </w:p>
    <w:p w:rsidR="00FD3477" w:rsidRDefault="00B3617E">
      <w:pPr>
        <w:spacing w:line="56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6</w:t>
      </w:r>
      <w:r>
        <w:rPr>
          <w:rFonts w:ascii="仿宋" w:eastAsia="仿宋" w:hAnsi="仿宋" w:hint="eastAsia"/>
          <w:sz w:val="32"/>
          <w:szCs w:val="32"/>
        </w:rPr>
        <w:t>：一般公共预算财政拨款支出决算结构）</w:t>
      </w:r>
      <w:bookmarkStart w:id="42" w:name="_Toc15377212"/>
    </w:p>
    <w:p w:rsidR="00FD3477" w:rsidRDefault="00B3617E">
      <w:pPr>
        <w:pStyle w:val="a0"/>
        <w:spacing w:before="93"/>
        <w:jc w:val="center"/>
      </w:pPr>
      <w:r>
        <w:rPr>
          <w:noProof/>
        </w:rPr>
        <w:drawing>
          <wp:inline distT="0" distB="0" distL="0" distR="0">
            <wp:extent cx="4012565" cy="2743200"/>
            <wp:effectExtent l="19050" t="0" r="25943" b="0"/>
            <wp:docPr id="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D3477" w:rsidRDefault="00B3617E">
      <w:pPr>
        <w:spacing w:line="600" w:lineRule="exact"/>
        <w:ind w:firstLineChars="200" w:firstLine="643"/>
        <w:rPr>
          <w:rFonts w:ascii="仿宋" w:eastAsia="仿宋" w:hAnsi="仿宋"/>
          <w:b/>
          <w:sz w:val="32"/>
          <w:szCs w:val="32"/>
        </w:rPr>
      </w:pPr>
      <w:r>
        <w:rPr>
          <w:rFonts w:ascii="仿宋" w:eastAsia="仿宋" w:hAnsi="仿宋" w:hint="eastAsia"/>
          <w:b/>
          <w:sz w:val="32"/>
          <w:szCs w:val="32"/>
        </w:rPr>
        <w:t>（三）一般公共预算财政拨款支出决算具体情况</w:t>
      </w:r>
      <w:bookmarkEnd w:id="42"/>
    </w:p>
    <w:p w:rsidR="00FD3477" w:rsidRDefault="00B3617E">
      <w:pPr>
        <w:spacing w:line="560" w:lineRule="exact"/>
        <w:ind w:firstLineChars="200" w:firstLine="643"/>
        <w:outlineLvl w:val="2"/>
        <w:rPr>
          <w:rFonts w:ascii="仿宋" w:eastAsia="仿宋" w:hAnsi="仿宋"/>
          <w:sz w:val="32"/>
          <w:szCs w:val="32"/>
        </w:rPr>
      </w:pPr>
      <w:bookmarkStart w:id="43" w:name="_Toc15377213"/>
      <w:bookmarkStart w:id="44" w:name="_Toc15377444"/>
      <w:bookmarkStart w:id="45" w:name="_Toc15378460"/>
      <w:r>
        <w:rPr>
          <w:rFonts w:ascii="仿宋" w:eastAsia="仿宋" w:hAnsi="仿宋" w:hint="eastAsia"/>
          <w:b/>
          <w:sz w:val="32"/>
          <w:szCs w:val="32"/>
        </w:rPr>
        <w:t>2021</w:t>
      </w:r>
      <w:r>
        <w:rPr>
          <w:rFonts w:ascii="仿宋" w:eastAsia="仿宋" w:hAnsi="仿宋" w:hint="eastAsia"/>
          <w:b/>
          <w:sz w:val="32"/>
          <w:szCs w:val="32"/>
        </w:rPr>
        <w:t>年一般公共预算支出决算数为</w:t>
      </w:r>
      <w:r>
        <w:rPr>
          <w:rFonts w:ascii="仿宋" w:eastAsia="仿宋" w:hAnsi="仿宋" w:hint="eastAsia"/>
          <w:b/>
          <w:sz w:val="32"/>
          <w:szCs w:val="32"/>
        </w:rPr>
        <w:t>336.13</w:t>
      </w:r>
      <w:r>
        <w:rPr>
          <w:rFonts w:ascii="仿宋" w:eastAsia="仿宋" w:hAnsi="仿宋" w:hint="eastAsia"/>
          <w:b/>
          <w:sz w:val="32"/>
          <w:szCs w:val="32"/>
        </w:rPr>
        <w:t>万元</w:t>
      </w:r>
      <w:r>
        <w:rPr>
          <w:rFonts w:ascii="仿宋" w:eastAsia="仿宋" w:hAnsi="仿宋" w:hint="eastAsia"/>
          <w:sz w:val="32"/>
          <w:szCs w:val="32"/>
        </w:rPr>
        <w:t>，</w:t>
      </w:r>
      <w:r>
        <w:rPr>
          <w:rStyle w:val="ab"/>
          <w:rFonts w:ascii="仿宋" w:eastAsia="仿宋" w:hAnsi="仿宋" w:hint="eastAsia"/>
          <w:bCs/>
          <w:sz w:val="32"/>
          <w:szCs w:val="32"/>
        </w:rPr>
        <w:t>完成预算</w:t>
      </w:r>
      <w:r>
        <w:rPr>
          <w:rStyle w:val="ab"/>
          <w:rFonts w:ascii="仿宋" w:eastAsia="仿宋" w:hAnsi="仿宋" w:hint="eastAsia"/>
          <w:bCs/>
          <w:sz w:val="32"/>
          <w:szCs w:val="32"/>
        </w:rPr>
        <w:t>100</w:t>
      </w:r>
      <w:r>
        <w:rPr>
          <w:rStyle w:val="ab"/>
          <w:rFonts w:ascii="仿宋" w:eastAsia="仿宋" w:hAnsi="仿宋"/>
          <w:bCs/>
          <w:sz w:val="32"/>
          <w:szCs w:val="32"/>
        </w:rPr>
        <w:t>%</w:t>
      </w:r>
      <w:r>
        <w:rPr>
          <w:rStyle w:val="ab"/>
          <w:rFonts w:ascii="仿宋" w:eastAsia="仿宋" w:hAnsi="仿宋" w:hint="eastAsia"/>
          <w:bCs/>
          <w:sz w:val="32"/>
          <w:szCs w:val="32"/>
        </w:rPr>
        <w:t>。其中：</w:t>
      </w:r>
      <w:bookmarkEnd w:id="43"/>
      <w:bookmarkEnd w:id="44"/>
      <w:bookmarkEnd w:id="45"/>
    </w:p>
    <w:p w:rsidR="00FD3477" w:rsidRDefault="00B3617E">
      <w:pPr>
        <w:spacing w:line="560" w:lineRule="exact"/>
        <w:ind w:firstLineChars="200" w:firstLine="643"/>
        <w:rPr>
          <w:rFonts w:ascii="仿宋" w:eastAsia="仿宋" w:hAnsi="仿宋"/>
          <w:b/>
          <w:sz w:val="32"/>
          <w:szCs w:val="32"/>
        </w:rPr>
      </w:pPr>
      <w:r>
        <w:rPr>
          <w:rStyle w:val="ab"/>
          <w:rFonts w:ascii="仿宋" w:eastAsia="仿宋" w:hAnsi="仿宋"/>
          <w:bCs/>
          <w:sz w:val="32"/>
          <w:szCs w:val="32"/>
        </w:rPr>
        <w:t>1.</w:t>
      </w:r>
      <w:r>
        <w:rPr>
          <w:rStyle w:val="ab"/>
          <w:rFonts w:ascii="仿宋" w:eastAsia="仿宋" w:hAnsi="仿宋" w:hint="eastAsia"/>
          <w:bCs/>
          <w:sz w:val="32"/>
          <w:szCs w:val="32"/>
        </w:rPr>
        <w:t>一般公共服务（类）政府办公厅（室）及相关机构事务（款）事业运行（项）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w:t>
      </w:r>
      <w:r>
        <w:rPr>
          <w:rStyle w:val="ab"/>
          <w:rFonts w:ascii="仿宋" w:eastAsia="仿宋" w:hAnsi="仿宋" w:hint="eastAsia"/>
          <w:b w:val="0"/>
          <w:bCs/>
          <w:sz w:val="32"/>
          <w:szCs w:val="32"/>
        </w:rPr>
        <w:t>2</w:t>
      </w:r>
      <w:r>
        <w:rPr>
          <w:rStyle w:val="ab"/>
          <w:rFonts w:ascii="仿宋" w:eastAsia="仿宋" w:hAnsi="仿宋" w:hint="eastAsia"/>
          <w:b w:val="0"/>
          <w:bCs/>
          <w:sz w:val="32"/>
          <w:szCs w:val="32"/>
        </w:rPr>
        <w:t>万元，完成预算</w:t>
      </w:r>
      <w:r>
        <w:rPr>
          <w:rStyle w:val="ab"/>
          <w:rFonts w:ascii="仿宋" w:eastAsia="仿宋" w:hAnsi="仿宋" w:hint="eastAsia"/>
          <w:b w:val="0"/>
          <w:bCs/>
          <w:sz w:val="32"/>
          <w:szCs w:val="32"/>
        </w:rPr>
        <w:t>100</w:t>
      </w:r>
      <w:r>
        <w:rPr>
          <w:rStyle w:val="ab"/>
          <w:rFonts w:ascii="仿宋" w:eastAsia="仿宋" w:hAnsi="仿宋"/>
          <w:b w:val="0"/>
          <w:bCs/>
          <w:sz w:val="32"/>
          <w:szCs w:val="32"/>
        </w:rPr>
        <w:t>%</w:t>
      </w:r>
      <w:r>
        <w:rPr>
          <w:rStyle w:val="ab"/>
          <w:rFonts w:ascii="仿宋" w:eastAsia="仿宋" w:hAnsi="仿宋" w:hint="eastAsia"/>
          <w:b w:val="0"/>
          <w:bCs/>
          <w:sz w:val="32"/>
          <w:szCs w:val="32"/>
        </w:rPr>
        <w:t>。</w:t>
      </w:r>
    </w:p>
    <w:p w:rsidR="00FD3477" w:rsidRDefault="00B3617E">
      <w:pPr>
        <w:spacing w:line="560" w:lineRule="exact"/>
        <w:ind w:firstLineChars="200" w:firstLine="643"/>
        <w:rPr>
          <w:rStyle w:val="ab"/>
          <w:rFonts w:ascii="仿宋" w:eastAsia="仿宋" w:hAnsi="仿宋"/>
          <w:b w:val="0"/>
          <w:bCs/>
          <w:sz w:val="32"/>
          <w:szCs w:val="32"/>
        </w:rPr>
      </w:pPr>
      <w:r>
        <w:rPr>
          <w:rStyle w:val="ab"/>
          <w:rFonts w:ascii="仿宋" w:eastAsia="仿宋" w:hAnsi="仿宋" w:hint="eastAsia"/>
          <w:bCs/>
          <w:sz w:val="32"/>
          <w:szCs w:val="32"/>
        </w:rPr>
        <w:t>2</w:t>
      </w:r>
      <w:r>
        <w:rPr>
          <w:rStyle w:val="ab"/>
          <w:rFonts w:ascii="仿宋" w:eastAsia="仿宋" w:hAnsi="仿宋"/>
          <w:bCs/>
          <w:sz w:val="32"/>
          <w:szCs w:val="32"/>
        </w:rPr>
        <w:t>.</w:t>
      </w:r>
      <w:r>
        <w:rPr>
          <w:rStyle w:val="ab"/>
          <w:rFonts w:ascii="仿宋" w:eastAsia="仿宋" w:hAnsi="仿宋" w:hint="eastAsia"/>
          <w:bCs/>
          <w:sz w:val="32"/>
          <w:szCs w:val="32"/>
        </w:rPr>
        <w:t>社会保障和就业（类）人力资源和社会保障管理事务（款）引进人才费用（项）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w:t>
      </w:r>
      <w:r>
        <w:rPr>
          <w:rStyle w:val="ab"/>
          <w:rFonts w:ascii="仿宋" w:eastAsia="仿宋" w:hAnsi="仿宋" w:hint="eastAsia"/>
          <w:b w:val="0"/>
          <w:bCs/>
          <w:sz w:val="32"/>
          <w:szCs w:val="32"/>
        </w:rPr>
        <w:t>2</w:t>
      </w:r>
      <w:r>
        <w:rPr>
          <w:rStyle w:val="ab"/>
          <w:rFonts w:ascii="仿宋" w:eastAsia="仿宋" w:hAnsi="仿宋" w:hint="eastAsia"/>
          <w:b w:val="0"/>
          <w:bCs/>
          <w:sz w:val="32"/>
          <w:szCs w:val="32"/>
        </w:rPr>
        <w:t>万元，完成预算</w:t>
      </w:r>
      <w:r>
        <w:rPr>
          <w:rStyle w:val="ab"/>
          <w:rFonts w:ascii="仿宋" w:eastAsia="仿宋" w:hAnsi="仿宋" w:hint="eastAsia"/>
          <w:b w:val="0"/>
          <w:bCs/>
          <w:sz w:val="32"/>
          <w:szCs w:val="32"/>
        </w:rPr>
        <w:t>100</w:t>
      </w:r>
      <w:r>
        <w:rPr>
          <w:rStyle w:val="ab"/>
          <w:rFonts w:ascii="仿宋" w:eastAsia="仿宋" w:hAnsi="仿宋"/>
          <w:b w:val="0"/>
          <w:bCs/>
          <w:sz w:val="32"/>
          <w:szCs w:val="32"/>
        </w:rPr>
        <w:t>%</w:t>
      </w:r>
      <w:r>
        <w:rPr>
          <w:rStyle w:val="ab"/>
          <w:rFonts w:ascii="仿宋" w:eastAsia="仿宋" w:hAnsi="仿宋" w:hint="eastAsia"/>
          <w:b w:val="0"/>
          <w:bCs/>
          <w:sz w:val="32"/>
          <w:szCs w:val="32"/>
        </w:rPr>
        <w:t>。</w:t>
      </w:r>
    </w:p>
    <w:p w:rsidR="00FD3477" w:rsidRDefault="00B3617E">
      <w:pPr>
        <w:spacing w:line="560" w:lineRule="exact"/>
        <w:ind w:firstLineChars="200" w:firstLine="640"/>
        <w:rPr>
          <w:rStyle w:val="ab"/>
          <w:rFonts w:ascii="仿宋" w:eastAsia="仿宋" w:hAnsi="仿宋"/>
          <w:b w:val="0"/>
          <w:bCs/>
          <w:sz w:val="32"/>
          <w:szCs w:val="32"/>
        </w:rPr>
      </w:pPr>
      <w:r>
        <w:rPr>
          <w:rFonts w:hint="eastAsia"/>
          <w:sz w:val="32"/>
          <w:szCs w:val="32"/>
        </w:rPr>
        <w:t>3</w:t>
      </w:r>
      <w:r w:rsidR="007626F7" w:rsidRPr="007626F7">
        <w:rPr>
          <w:sz w:val="32"/>
          <w:szCs w:val="32"/>
          <w:u w:color="46CD7E"/>
        </w:rPr>
        <w:t>.</w:t>
      </w:r>
      <w:r>
        <w:rPr>
          <w:rStyle w:val="ab"/>
          <w:rFonts w:ascii="仿宋" w:eastAsia="仿宋" w:hAnsi="仿宋" w:hint="eastAsia"/>
          <w:bCs/>
          <w:sz w:val="32"/>
          <w:szCs w:val="32"/>
        </w:rPr>
        <w:t>社会保障和就业（类）行政事业单位养老支出（款）机关事业单位基本养老保险缴费支出（项）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w:t>
      </w:r>
      <w:r>
        <w:rPr>
          <w:rStyle w:val="ab"/>
          <w:rFonts w:ascii="仿宋" w:eastAsia="仿宋" w:hAnsi="仿宋" w:hint="eastAsia"/>
          <w:b w:val="0"/>
          <w:bCs/>
          <w:sz w:val="32"/>
          <w:szCs w:val="32"/>
        </w:rPr>
        <w:t>24.74</w:t>
      </w:r>
      <w:r>
        <w:rPr>
          <w:rStyle w:val="ab"/>
          <w:rFonts w:ascii="仿宋" w:eastAsia="仿宋" w:hAnsi="仿宋" w:hint="eastAsia"/>
          <w:b w:val="0"/>
          <w:bCs/>
          <w:sz w:val="32"/>
          <w:szCs w:val="32"/>
        </w:rPr>
        <w:t>万元，完成预算</w:t>
      </w:r>
      <w:r>
        <w:rPr>
          <w:rStyle w:val="ab"/>
          <w:rFonts w:ascii="仿宋" w:eastAsia="仿宋" w:hAnsi="仿宋" w:hint="eastAsia"/>
          <w:b w:val="0"/>
          <w:bCs/>
          <w:sz w:val="32"/>
          <w:szCs w:val="32"/>
        </w:rPr>
        <w:t>100</w:t>
      </w:r>
      <w:r>
        <w:rPr>
          <w:rStyle w:val="ab"/>
          <w:rFonts w:ascii="仿宋" w:eastAsia="仿宋" w:hAnsi="仿宋"/>
          <w:b w:val="0"/>
          <w:bCs/>
          <w:sz w:val="32"/>
          <w:szCs w:val="32"/>
        </w:rPr>
        <w:t>%</w:t>
      </w:r>
      <w:r>
        <w:rPr>
          <w:rStyle w:val="ab"/>
          <w:rFonts w:ascii="仿宋" w:eastAsia="仿宋" w:hAnsi="仿宋" w:hint="eastAsia"/>
          <w:b w:val="0"/>
          <w:bCs/>
          <w:sz w:val="32"/>
          <w:szCs w:val="32"/>
        </w:rPr>
        <w:t>。</w:t>
      </w:r>
    </w:p>
    <w:p w:rsidR="00FD3477" w:rsidRDefault="00B3617E">
      <w:pPr>
        <w:spacing w:line="560" w:lineRule="exact"/>
        <w:ind w:firstLineChars="200" w:firstLine="420"/>
        <w:rPr>
          <w:rStyle w:val="ab"/>
          <w:rFonts w:ascii="仿宋" w:eastAsia="仿宋" w:hAnsi="仿宋"/>
          <w:b w:val="0"/>
          <w:bCs/>
          <w:sz w:val="32"/>
          <w:szCs w:val="32"/>
        </w:rPr>
      </w:pPr>
      <w:r>
        <w:rPr>
          <w:rFonts w:hint="eastAsia"/>
        </w:rPr>
        <w:lastRenderedPageBreak/>
        <w:t xml:space="preserve"> </w:t>
      </w:r>
      <w:r>
        <w:rPr>
          <w:rFonts w:hint="eastAsia"/>
          <w:sz w:val="32"/>
          <w:szCs w:val="32"/>
        </w:rPr>
        <w:t xml:space="preserve"> 4</w:t>
      </w:r>
      <w:r w:rsidR="007626F7" w:rsidRPr="007626F7">
        <w:rPr>
          <w:sz w:val="32"/>
          <w:szCs w:val="32"/>
          <w:u w:color="46CD7E"/>
        </w:rPr>
        <w:t>.</w:t>
      </w:r>
      <w:r>
        <w:rPr>
          <w:rStyle w:val="ab"/>
          <w:rFonts w:ascii="仿宋" w:eastAsia="仿宋" w:hAnsi="仿宋" w:hint="eastAsia"/>
          <w:bCs/>
          <w:sz w:val="32"/>
          <w:szCs w:val="32"/>
        </w:rPr>
        <w:t>社会保障和就业（类）行政事业单位养老支出（款）机关事业单位职业年金缴费支出（项）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w:t>
      </w:r>
      <w:r>
        <w:rPr>
          <w:rStyle w:val="ab"/>
          <w:rFonts w:ascii="仿宋" w:eastAsia="仿宋" w:hAnsi="仿宋" w:hint="eastAsia"/>
          <w:b w:val="0"/>
          <w:bCs/>
          <w:sz w:val="32"/>
          <w:szCs w:val="32"/>
        </w:rPr>
        <w:t>11.46</w:t>
      </w:r>
      <w:r>
        <w:rPr>
          <w:rStyle w:val="ab"/>
          <w:rFonts w:ascii="仿宋" w:eastAsia="仿宋" w:hAnsi="仿宋" w:hint="eastAsia"/>
          <w:b w:val="0"/>
          <w:bCs/>
          <w:sz w:val="32"/>
          <w:szCs w:val="32"/>
        </w:rPr>
        <w:t>万元，完成预算</w:t>
      </w:r>
      <w:r>
        <w:rPr>
          <w:rStyle w:val="ab"/>
          <w:rFonts w:ascii="仿宋" w:eastAsia="仿宋" w:hAnsi="仿宋" w:hint="eastAsia"/>
          <w:b w:val="0"/>
          <w:bCs/>
          <w:sz w:val="32"/>
          <w:szCs w:val="32"/>
        </w:rPr>
        <w:t>100</w:t>
      </w:r>
      <w:r>
        <w:rPr>
          <w:rStyle w:val="ab"/>
          <w:rFonts w:ascii="仿宋" w:eastAsia="仿宋" w:hAnsi="仿宋"/>
          <w:b w:val="0"/>
          <w:bCs/>
          <w:sz w:val="32"/>
          <w:szCs w:val="32"/>
        </w:rPr>
        <w:t>%</w:t>
      </w:r>
      <w:r>
        <w:rPr>
          <w:rStyle w:val="ab"/>
          <w:rFonts w:ascii="仿宋" w:eastAsia="仿宋" w:hAnsi="仿宋" w:hint="eastAsia"/>
          <w:b w:val="0"/>
          <w:bCs/>
          <w:sz w:val="32"/>
          <w:szCs w:val="32"/>
        </w:rPr>
        <w:t>。</w:t>
      </w:r>
    </w:p>
    <w:p w:rsidR="00FD3477" w:rsidRDefault="00B3617E">
      <w:pPr>
        <w:spacing w:line="560" w:lineRule="exact"/>
        <w:ind w:firstLineChars="200" w:firstLine="643"/>
        <w:rPr>
          <w:rFonts w:ascii="仿宋" w:eastAsia="仿宋" w:hAnsi="仿宋"/>
          <w:b/>
          <w:sz w:val="32"/>
          <w:szCs w:val="32"/>
        </w:rPr>
      </w:pPr>
      <w:r w:rsidRPr="007626F7">
        <w:rPr>
          <w:rStyle w:val="ab"/>
          <w:rFonts w:ascii="仿宋" w:eastAsia="仿宋" w:hAnsi="仿宋" w:hint="eastAsia"/>
          <w:bCs/>
          <w:sz w:val="32"/>
          <w:szCs w:val="32"/>
          <w:u w:color="46CD7E"/>
        </w:rPr>
        <w:t>5</w:t>
      </w:r>
      <w:r w:rsidRPr="007626F7">
        <w:rPr>
          <w:rStyle w:val="ab"/>
          <w:rFonts w:ascii="仿宋" w:eastAsia="仿宋" w:hAnsi="仿宋"/>
          <w:bCs/>
          <w:sz w:val="32"/>
          <w:szCs w:val="32"/>
          <w:u w:color="46CD7E"/>
        </w:rPr>
        <w:t>.</w:t>
      </w:r>
      <w:r>
        <w:rPr>
          <w:rStyle w:val="ab"/>
          <w:rFonts w:ascii="仿宋" w:eastAsia="仿宋" w:hAnsi="仿宋" w:hint="eastAsia"/>
          <w:sz w:val="32"/>
          <w:szCs w:val="32"/>
        </w:rPr>
        <w:t>卫生健康</w:t>
      </w:r>
      <w:r>
        <w:rPr>
          <w:rStyle w:val="ab"/>
          <w:rFonts w:ascii="仿宋" w:eastAsia="仿宋" w:hAnsi="仿宋" w:hint="eastAsia"/>
          <w:bCs/>
          <w:sz w:val="32"/>
          <w:szCs w:val="32"/>
        </w:rPr>
        <w:t>（类）行政事业单位医疗（款）事业单位医疗（项）</w:t>
      </w:r>
      <w:r>
        <w:rPr>
          <w:rStyle w:val="ab"/>
          <w:rFonts w:ascii="仿宋" w:eastAsia="仿宋" w:hAnsi="仿宋"/>
          <w:bCs/>
          <w:sz w:val="32"/>
          <w:szCs w:val="32"/>
        </w:rPr>
        <w:t>:</w:t>
      </w:r>
      <w:r>
        <w:rPr>
          <w:rStyle w:val="ab"/>
          <w:rFonts w:ascii="仿宋" w:eastAsia="仿宋" w:hAnsi="仿宋" w:hint="eastAsia"/>
          <w:b w:val="0"/>
          <w:bCs/>
          <w:sz w:val="32"/>
          <w:szCs w:val="32"/>
        </w:rPr>
        <w:t>支出决算为</w:t>
      </w:r>
      <w:r>
        <w:rPr>
          <w:rStyle w:val="ab"/>
          <w:rFonts w:ascii="仿宋" w:eastAsia="仿宋" w:hAnsi="仿宋" w:hint="eastAsia"/>
          <w:b w:val="0"/>
          <w:bCs/>
          <w:sz w:val="32"/>
          <w:szCs w:val="32"/>
        </w:rPr>
        <w:t>15.96</w:t>
      </w:r>
      <w:r>
        <w:rPr>
          <w:rStyle w:val="ab"/>
          <w:rFonts w:ascii="仿宋" w:eastAsia="仿宋" w:hAnsi="仿宋" w:hint="eastAsia"/>
          <w:b w:val="0"/>
          <w:bCs/>
          <w:sz w:val="32"/>
          <w:szCs w:val="32"/>
        </w:rPr>
        <w:t>万元，完成预算</w:t>
      </w:r>
      <w:r>
        <w:rPr>
          <w:rStyle w:val="ab"/>
          <w:rFonts w:ascii="仿宋" w:eastAsia="仿宋" w:hAnsi="仿宋" w:hint="eastAsia"/>
          <w:b w:val="0"/>
          <w:bCs/>
          <w:sz w:val="32"/>
          <w:szCs w:val="32"/>
        </w:rPr>
        <w:t>100</w:t>
      </w:r>
      <w:r>
        <w:rPr>
          <w:rStyle w:val="ab"/>
          <w:rFonts w:ascii="仿宋" w:eastAsia="仿宋" w:hAnsi="仿宋"/>
          <w:b w:val="0"/>
          <w:bCs/>
          <w:sz w:val="32"/>
          <w:szCs w:val="32"/>
        </w:rPr>
        <w:t>%</w:t>
      </w:r>
      <w:r>
        <w:rPr>
          <w:rStyle w:val="ab"/>
          <w:rFonts w:ascii="仿宋" w:eastAsia="仿宋" w:hAnsi="仿宋" w:hint="eastAsia"/>
          <w:b w:val="0"/>
          <w:bCs/>
          <w:sz w:val="32"/>
          <w:szCs w:val="32"/>
        </w:rPr>
        <w:t>。</w:t>
      </w:r>
    </w:p>
    <w:p w:rsidR="00FD3477" w:rsidRDefault="00B3617E">
      <w:pPr>
        <w:pStyle w:val="a0"/>
        <w:spacing w:before="93" w:line="560" w:lineRule="exact"/>
        <w:ind w:firstLineChars="250" w:firstLine="750"/>
        <w:rPr>
          <w:rFonts w:hAnsi="仿宋"/>
          <w:color w:val="000000"/>
          <w:szCs w:val="30"/>
        </w:rPr>
      </w:pPr>
      <w:r>
        <w:rPr>
          <w:rFonts w:hint="eastAsia"/>
        </w:rPr>
        <w:t>6</w:t>
      </w:r>
      <w:r w:rsidR="007626F7" w:rsidRPr="007626F7">
        <w:rPr>
          <w:u w:color="46CD7E"/>
        </w:rPr>
        <w:t>.</w:t>
      </w:r>
      <w:r>
        <w:rPr>
          <w:rFonts w:ascii="仿宋" w:eastAsia="仿宋" w:hAnsi="仿宋" w:hint="eastAsia"/>
          <w:b/>
          <w:bCs/>
          <w:kern w:val="2"/>
          <w:sz w:val="32"/>
          <w:szCs w:val="32"/>
        </w:rPr>
        <w:t>农林水支出（类）农业农村（款）事业运行（项）</w:t>
      </w:r>
      <w:r>
        <w:rPr>
          <w:rFonts w:hAnsi="仿宋" w:hint="eastAsia"/>
          <w:color w:val="000000"/>
          <w:szCs w:val="30"/>
        </w:rPr>
        <w:t>:</w:t>
      </w:r>
      <w:r>
        <w:rPr>
          <w:rStyle w:val="ab"/>
          <w:rFonts w:ascii="仿宋" w:eastAsia="仿宋" w:hint="eastAsia"/>
          <w:b w:val="0"/>
          <w:bCs/>
          <w:kern w:val="2"/>
          <w:sz w:val="32"/>
          <w:szCs w:val="32"/>
        </w:rPr>
        <w:t>支出决算为</w:t>
      </w:r>
      <w:r>
        <w:rPr>
          <w:rStyle w:val="ab"/>
          <w:rFonts w:ascii="仿宋" w:eastAsia="仿宋" w:hint="eastAsia"/>
          <w:b w:val="0"/>
          <w:bCs/>
          <w:kern w:val="2"/>
          <w:sz w:val="32"/>
          <w:szCs w:val="32"/>
        </w:rPr>
        <w:t>243.01</w:t>
      </w:r>
      <w:r>
        <w:rPr>
          <w:rStyle w:val="ab"/>
          <w:rFonts w:ascii="仿宋" w:eastAsia="仿宋" w:hint="eastAsia"/>
          <w:b w:val="0"/>
          <w:bCs/>
          <w:kern w:val="2"/>
          <w:sz w:val="32"/>
          <w:szCs w:val="32"/>
        </w:rPr>
        <w:t>万元，完成预算</w:t>
      </w:r>
      <w:r>
        <w:rPr>
          <w:rStyle w:val="ab"/>
          <w:rFonts w:ascii="仿宋" w:eastAsia="仿宋" w:hint="eastAsia"/>
          <w:b w:val="0"/>
          <w:bCs/>
          <w:kern w:val="2"/>
          <w:sz w:val="32"/>
          <w:szCs w:val="32"/>
        </w:rPr>
        <w:t>100%</w:t>
      </w:r>
      <w:r>
        <w:rPr>
          <w:rStyle w:val="ab"/>
          <w:rFonts w:ascii="仿宋" w:eastAsia="仿宋" w:hint="eastAsia"/>
          <w:b w:val="0"/>
          <w:bCs/>
          <w:kern w:val="2"/>
          <w:sz w:val="32"/>
          <w:szCs w:val="32"/>
        </w:rPr>
        <w:t>。</w:t>
      </w:r>
    </w:p>
    <w:p w:rsidR="00FD3477" w:rsidRDefault="00B3617E">
      <w:pPr>
        <w:pStyle w:val="a0"/>
        <w:spacing w:before="93" w:line="560" w:lineRule="exact"/>
        <w:ind w:firstLineChars="250" w:firstLine="750"/>
        <w:rPr>
          <w:rStyle w:val="ab"/>
          <w:rFonts w:ascii="仿宋" w:eastAsia="仿宋" w:hAnsi="仿宋"/>
          <w:b w:val="0"/>
          <w:bCs/>
          <w:sz w:val="32"/>
          <w:szCs w:val="32"/>
        </w:rPr>
      </w:pPr>
      <w:r>
        <w:rPr>
          <w:rFonts w:hAnsi="仿宋" w:hint="eastAsia"/>
          <w:color w:val="000000"/>
          <w:szCs w:val="30"/>
        </w:rPr>
        <w:t>7</w:t>
      </w:r>
      <w:r w:rsidR="007626F7" w:rsidRPr="007626F7">
        <w:rPr>
          <w:rFonts w:hAnsi="仿宋"/>
          <w:color w:val="000000"/>
          <w:szCs w:val="30"/>
          <w:u w:color="46CD7E"/>
        </w:rPr>
        <w:t>.</w:t>
      </w:r>
      <w:r>
        <w:rPr>
          <w:rFonts w:ascii="仿宋" w:eastAsia="仿宋" w:hAnsi="仿宋" w:hint="eastAsia"/>
          <w:b/>
          <w:bCs/>
          <w:kern w:val="2"/>
          <w:sz w:val="32"/>
          <w:szCs w:val="32"/>
        </w:rPr>
        <w:t>农林水支出（类）农业农村（款）农业生产发展（项）</w:t>
      </w:r>
      <w:r>
        <w:rPr>
          <w:rFonts w:ascii="仿宋" w:eastAsia="仿宋" w:hAnsi="仿宋" w:hint="eastAsia"/>
          <w:b/>
          <w:bCs/>
          <w:kern w:val="2"/>
          <w:sz w:val="32"/>
          <w:szCs w:val="32"/>
        </w:rPr>
        <w:t>:</w:t>
      </w:r>
      <w:r>
        <w:rPr>
          <w:rStyle w:val="ab"/>
          <w:rFonts w:ascii="仿宋" w:eastAsia="仿宋" w:hint="eastAsia"/>
          <w:b w:val="0"/>
          <w:bCs/>
          <w:kern w:val="2"/>
          <w:sz w:val="32"/>
          <w:szCs w:val="32"/>
        </w:rPr>
        <w:t>支出决算为</w:t>
      </w:r>
      <w:r>
        <w:rPr>
          <w:rStyle w:val="ab"/>
          <w:rFonts w:ascii="仿宋" w:eastAsia="仿宋" w:hint="eastAsia"/>
          <w:b w:val="0"/>
          <w:bCs/>
          <w:kern w:val="2"/>
          <w:sz w:val="32"/>
          <w:szCs w:val="32"/>
        </w:rPr>
        <w:t>3</w:t>
      </w:r>
      <w:r>
        <w:rPr>
          <w:rStyle w:val="ab"/>
          <w:rFonts w:ascii="仿宋" w:eastAsia="仿宋" w:hint="eastAsia"/>
          <w:b w:val="0"/>
          <w:bCs/>
          <w:kern w:val="2"/>
          <w:sz w:val="32"/>
          <w:szCs w:val="32"/>
        </w:rPr>
        <w:t>万元，完成预算</w:t>
      </w:r>
      <w:r>
        <w:rPr>
          <w:rStyle w:val="ab"/>
          <w:rFonts w:ascii="仿宋" w:eastAsia="仿宋" w:hint="eastAsia"/>
          <w:b w:val="0"/>
          <w:bCs/>
          <w:kern w:val="2"/>
          <w:sz w:val="32"/>
          <w:szCs w:val="32"/>
        </w:rPr>
        <w:t>100%</w:t>
      </w:r>
      <w:r>
        <w:rPr>
          <w:rStyle w:val="ab"/>
          <w:rFonts w:ascii="仿宋" w:eastAsia="仿宋" w:hAnsi="仿宋" w:hint="eastAsia"/>
          <w:b w:val="0"/>
          <w:bCs/>
          <w:sz w:val="32"/>
          <w:szCs w:val="32"/>
        </w:rPr>
        <w:t>。</w:t>
      </w:r>
    </w:p>
    <w:p w:rsidR="00FD3477" w:rsidRDefault="00B3617E">
      <w:pPr>
        <w:pStyle w:val="a0"/>
        <w:spacing w:before="93" w:line="560" w:lineRule="exact"/>
        <w:ind w:firstLineChars="250" w:firstLine="800"/>
        <w:rPr>
          <w:rStyle w:val="ab"/>
          <w:rFonts w:ascii="仿宋" w:eastAsia="仿宋" w:hAnsi="仿宋"/>
          <w:b w:val="0"/>
          <w:bCs/>
          <w:sz w:val="32"/>
          <w:szCs w:val="32"/>
        </w:rPr>
      </w:pPr>
      <w:r>
        <w:rPr>
          <w:rStyle w:val="ab"/>
          <w:rFonts w:ascii="仿宋" w:eastAsia="仿宋" w:hAnsi="仿宋" w:hint="eastAsia"/>
          <w:b w:val="0"/>
          <w:bCs/>
          <w:sz w:val="32"/>
          <w:szCs w:val="32"/>
        </w:rPr>
        <w:t>8</w:t>
      </w:r>
      <w:r w:rsidR="007626F7" w:rsidRPr="007626F7">
        <w:rPr>
          <w:rStyle w:val="ab"/>
          <w:rFonts w:ascii="仿宋" w:eastAsia="仿宋" w:hAnsi="仿宋"/>
          <w:b w:val="0"/>
          <w:bCs/>
          <w:sz w:val="32"/>
          <w:szCs w:val="32"/>
          <w:u w:color="46CD7E"/>
        </w:rPr>
        <w:t>.</w:t>
      </w:r>
      <w:r>
        <w:rPr>
          <w:rFonts w:ascii="仿宋" w:eastAsia="仿宋" w:hAnsi="仿宋" w:hint="eastAsia"/>
          <w:b/>
          <w:bCs/>
          <w:kern w:val="2"/>
          <w:sz w:val="32"/>
          <w:szCs w:val="32"/>
        </w:rPr>
        <w:t>农林水支出（类）农业农村（款）其他农业农村支出（项）</w:t>
      </w:r>
      <w:r>
        <w:rPr>
          <w:rFonts w:ascii="仿宋" w:eastAsia="仿宋" w:hAnsi="仿宋" w:hint="eastAsia"/>
          <w:b/>
          <w:bCs/>
          <w:kern w:val="2"/>
          <w:sz w:val="32"/>
          <w:szCs w:val="32"/>
        </w:rPr>
        <w:t>:</w:t>
      </w:r>
      <w:r>
        <w:rPr>
          <w:rStyle w:val="ab"/>
          <w:rFonts w:ascii="仿宋" w:eastAsia="仿宋" w:hint="eastAsia"/>
          <w:b w:val="0"/>
          <w:bCs/>
          <w:kern w:val="2"/>
          <w:sz w:val="32"/>
          <w:szCs w:val="32"/>
        </w:rPr>
        <w:t>支出决算为</w:t>
      </w:r>
      <w:r>
        <w:rPr>
          <w:rStyle w:val="ab"/>
          <w:rFonts w:ascii="仿宋" w:eastAsia="仿宋" w:hint="eastAsia"/>
          <w:b w:val="0"/>
          <w:bCs/>
          <w:kern w:val="2"/>
          <w:sz w:val="32"/>
          <w:szCs w:val="32"/>
        </w:rPr>
        <w:t>15</w:t>
      </w:r>
      <w:r>
        <w:rPr>
          <w:rStyle w:val="ab"/>
          <w:rFonts w:ascii="仿宋" w:eastAsia="仿宋" w:hint="eastAsia"/>
          <w:b w:val="0"/>
          <w:bCs/>
          <w:kern w:val="2"/>
          <w:sz w:val="32"/>
          <w:szCs w:val="32"/>
        </w:rPr>
        <w:t>万元，完成预算</w:t>
      </w:r>
      <w:r>
        <w:rPr>
          <w:rStyle w:val="ab"/>
          <w:rFonts w:ascii="仿宋" w:eastAsia="仿宋" w:hint="eastAsia"/>
          <w:b w:val="0"/>
          <w:bCs/>
          <w:kern w:val="2"/>
          <w:sz w:val="32"/>
          <w:szCs w:val="32"/>
        </w:rPr>
        <w:t>100%</w:t>
      </w:r>
      <w:r>
        <w:rPr>
          <w:rStyle w:val="ab"/>
          <w:rFonts w:ascii="仿宋" w:eastAsia="仿宋" w:hAnsi="仿宋" w:hint="eastAsia"/>
          <w:b w:val="0"/>
          <w:bCs/>
          <w:sz w:val="32"/>
          <w:szCs w:val="32"/>
        </w:rPr>
        <w:t>。</w:t>
      </w:r>
    </w:p>
    <w:p w:rsidR="00FD3477" w:rsidRDefault="00B3617E">
      <w:pPr>
        <w:pStyle w:val="a0"/>
        <w:spacing w:before="93" w:line="560" w:lineRule="exact"/>
        <w:ind w:firstLineChars="250" w:firstLine="800"/>
        <w:rPr>
          <w:rStyle w:val="ab"/>
          <w:rFonts w:ascii="仿宋" w:eastAsia="仿宋" w:hAnsi="仿宋"/>
          <w:b w:val="0"/>
          <w:bCs/>
          <w:sz w:val="32"/>
          <w:szCs w:val="32"/>
        </w:rPr>
      </w:pPr>
      <w:r>
        <w:rPr>
          <w:rStyle w:val="ab"/>
          <w:rFonts w:ascii="仿宋" w:eastAsia="仿宋" w:hAnsi="仿宋" w:hint="eastAsia"/>
          <w:b w:val="0"/>
          <w:bCs/>
          <w:sz w:val="32"/>
          <w:szCs w:val="32"/>
        </w:rPr>
        <w:t>9</w:t>
      </w:r>
      <w:r w:rsidR="007626F7" w:rsidRPr="007626F7">
        <w:rPr>
          <w:rStyle w:val="ab"/>
          <w:rFonts w:ascii="仿宋" w:eastAsia="仿宋" w:hAnsi="仿宋"/>
          <w:b w:val="0"/>
          <w:bCs/>
          <w:sz w:val="32"/>
          <w:szCs w:val="32"/>
          <w:u w:color="46CD7E"/>
        </w:rPr>
        <w:t>.</w:t>
      </w:r>
      <w:r>
        <w:rPr>
          <w:rFonts w:ascii="仿宋" w:eastAsia="仿宋" w:hAnsi="仿宋" w:hint="eastAsia"/>
          <w:b/>
          <w:bCs/>
          <w:kern w:val="2"/>
          <w:sz w:val="32"/>
          <w:szCs w:val="32"/>
        </w:rPr>
        <w:t>农林水支出（类）扶贫（款）其他扶贫支出（项）</w:t>
      </w:r>
      <w:r>
        <w:rPr>
          <w:rFonts w:ascii="仿宋" w:eastAsia="仿宋" w:hAnsi="仿宋" w:hint="eastAsia"/>
          <w:b/>
          <w:bCs/>
          <w:kern w:val="2"/>
          <w:sz w:val="32"/>
          <w:szCs w:val="32"/>
        </w:rPr>
        <w:t>:</w:t>
      </w:r>
      <w:r>
        <w:rPr>
          <w:rStyle w:val="ab"/>
          <w:rFonts w:ascii="仿宋" w:eastAsia="仿宋" w:hint="eastAsia"/>
          <w:b w:val="0"/>
          <w:bCs/>
          <w:kern w:val="2"/>
          <w:sz w:val="32"/>
          <w:szCs w:val="32"/>
        </w:rPr>
        <w:t>支出决算为</w:t>
      </w:r>
      <w:r>
        <w:rPr>
          <w:rStyle w:val="ab"/>
          <w:rFonts w:ascii="仿宋" w:eastAsia="仿宋" w:hint="eastAsia"/>
          <w:b w:val="0"/>
          <w:bCs/>
          <w:kern w:val="2"/>
          <w:sz w:val="32"/>
          <w:szCs w:val="32"/>
        </w:rPr>
        <w:t>0.4</w:t>
      </w:r>
      <w:r>
        <w:rPr>
          <w:rStyle w:val="ab"/>
          <w:rFonts w:ascii="仿宋" w:eastAsia="仿宋" w:hint="eastAsia"/>
          <w:b w:val="0"/>
          <w:bCs/>
          <w:kern w:val="2"/>
          <w:sz w:val="32"/>
          <w:szCs w:val="32"/>
        </w:rPr>
        <w:t>万元，完成预算</w:t>
      </w:r>
      <w:r>
        <w:rPr>
          <w:rStyle w:val="ab"/>
          <w:rFonts w:ascii="仿宋" w:eastAsia="仿宋" w:hint="eastAsia"/>
          <w:b w:val="0"/>
          <w:bCs/>
          <w:kern w:val="2"/>
          <w:sz w:val="32"/>
          <w:szCs w:val="32"/>
        </w:rPr>
        <w:t>100%</w:t>
      </w:r>
      <w:r>
        <w:rPr>
          <w:rStyle w:val="ab"/>
          <w:rFonts w:ascii="仿宋" w:eastAsia="仿宋" w:hAnsi="仿宋" w:hint="eastAsia"/>
          <w:b w:val="0"/>
          <w:bCs/>
          <w:sz w:val="32"/>
          <w:szCs w:val="32"/>
        </w:rPr>
        <w:t>。</w:t>
      </w:r>
    </w:p>
    <w:p w:rsidR="00FD3477" w:rsidRDefault="00B3617E">
      <w:pPr>
        <w:spacing w:line="560" w:lineRule="exact"/>
        <w:ind w:firstLineChars="200" w:firstLine="640"/>
        <w:rPr>
          <w:rStyle w:val="ab"/>
          <w:rFonts w:ascii="仿宋" w:eastAsia="仿宋"/>
          <w:b w:val="0"/>
          <w:bCs/>
          <w:sz w:val="32"/>
          <w:szCs w:val="32"/>
        </w:rPr>
      </w:pPr>
      <w:r>
        <w:rPr>
          <w:rStyle w:val="ab"/>
          <w:rFonts w:ascii="仿宋" w:eastAsia="仿宋" w:hAnsi="仿宋" w:hint="eastAsia"/>
          <w:b w:val="0"/>
          <w:bCs/>
          <w:sz w:val="32"/>
          <w:szCs w:val="32"/>
        </w:rPr>
        <w:t>10</w:t>
      </w:r>
      <w:r w:rsidR="007626F7" w:rsidRPr="007626F7">
        <w:rPr>
          <w:rStyle w:val="ab"/>
          <w:rFonts w:ascii="仿宋" w:eastAsia="仿宋" w:hAnsi="仿宋"/>
          <w:b w:val="0"/>
          <w:bCs/>
          <w:sz w:val="32"/>
          <w:szCs w:val="32"/>
          <w:u w:color="46CD7E"/>
        </w:rPr>
        <w:t>.</w:t>
      </w:r>
      <w:r>
        <w:rPr>
          <w:rFonts w:ascii="仿宋" w:eastAsia="仿宋" w:hAnsi="仿宋" w:hint="eastAsia"/>
          <w:b/>
          <w:bCs/>
          <w:sz w:val="32"/>
          <w:szCs w:val="32"/>
        </w:rPr>
        <w:t>住房保障支出（类）住房改革支出（款）住房公积金（项）</w:t>
      </w:r>
      <w:r>
        <w:rPr>
          <w:rFonts w:ascii="仿宋" w:eastAsia="仿宋" w:hAnsi="仿宋" w:hint="eastAsia"/>
          <w:b/>
          <w:bCs/>
          <w:sz w:val="32"/>
          <w:szCs w:val="32"/>
        </w:rPr>
        <w:t>:</w:t>
      </w:r>
      <w:r>
        <w:rPr>
          <w:rStyle w:val="ab"/>
          <w:rFonts w:ascii="仿宋" w:eastAsia="仿宋" w:hint="eastAsia"/>
          <w:b w:val="0"/>
          <w:bCs/>
          <w:sz w:val="32"/>
          <w:szCs w:val="32"/>
        </w:rPr>
        <w:t>支出决算为</w:t>
      </w:r>
      <w:r>
        <w:rPr>
          <w:rStyle w:val="ab"/>
          <w:rFonts w:ascii="仿宋" w:eastAsia="仿宋" w:hint="eastAsia"/>
          <w:b w:val="0"/>
          <w:bCs/>
          <w:sz w:val="32"/>
          <w:szCs w:val="32"/>
        </w:rPr>
        <w:t>18.55</w:t>
      </w:r>
      <w:r>
        <w:rPr>
          <w:rStyle w:val="ab"/>
          <w:rFonts w:ascii="仿宋" w:eastAsia="仿宋" w:hint="eastAsia"/>
          <w:b w:val="0"/>
          <w:bCs/>
          <w:sz w:val="32"/>
          <w:szCs w:val="32"/>
        </w:rPr>
        <w:t>万元，完成预算</w:t>
      </w:r>
      <w:r>
        <w:rPr>
          <w:rStyle w:val="ab"/>
          <w:rFonts w:ascii="仿宋" w:eastAsia="仿宋" w:hint="eastAsia"/>
          <w:b w:val="0"/>
          <w:bCs/>
          <w:sz w:val="32"/>
          <w:szCs w:val="32"/>
        </w:rPr>
        <w:t>100%</w:t>
      </w:r>
      <w:r>
        <w:rPr>
          <w:rStyle w:val="ab"/>
          <w:rFonts w:ascii="仿宋" w:eastAsia="仿宋" w:hint="eastAsia"/>
          <w:b w:val="0"/>
          <w:bCs/>
          <w:sz w:val="32"/>
          <w:szCs w:val="32"/>
        </w:rPr>
        <w:t>。</w:t>
      </w:r>
    </w:p>
    <w:p w:rsidR="00FD3477" w:rsidRDefault="00B3617E">
      <w:pPr>
        <w:tabs>
          <w:tab w:val="right" w:pos="8306"/>
        </w:tabs>
        <w:spacing w:line="600" w:lineRule="exact"/>
        <w:ind w:firstLine="640"/>
        <w:outlineLvl w:val="1"/>
        <w:rPr>
          <w:rStyle w:val="20"/>
        </w:rPr>
      </w:pPr>
      <w:bookmarkStart w:id="46" w:name="_Toc15377214"/>
      <w:bookmarkStart w:id="47" w:name="_Toc15396608"/>
      <w:bookmarkStart w:id="48" w:name="_Toc25571"/>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0"/>
          <w:rFonts w:ascii="黑体" w:eastAsia="黑体" w:hAnsi="黑体" w:hint="eastAsia"/>
          <w:b w:val="0"/>
        </w:rPr>
        <w:t>般公共预算财政拨款基本支出决算情况说明</w:t>
      </w:r>
      <w:bookmarkEnd w:id="46"/>
      <w:bookmarkEnd w:id="47"/>
      <w:bookmarkEnd w:id="48"/>
      <w:r>
        <w:rPr>
          <w:rStyle w:val="20"/>
          <w:rFonts w:ascii="黑体" w:eastAsia="黑体" w:hAnsi="黑体"/>
          <w:b w:val="0"/>
        </w:rPr>
        <w:tab/>
      </w:r>
    </w:p>
    <w:p w:rsidR="00FD3477" w:rsidRDefault="00B3617E">
      <w:pPr>
        <w:spacing w:line="560" w:lineRule="exact"/>
        <w:ind w:firstLine="646"/>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年一般公共预算财政拨款基本支出</w:t>
      </w:r>
      <w:r>
        <w:rPr>
          <w:rFonts w:ascii="仿宋" w:eastAsia="仿宋" w:hAnsi="仿宋"/>
          <w:sz w:val="32"/>
          <w:szCs w:val="32"/>
        </w:rPr>
        <w:t>315.73</w:t>
      </w:r>
      <w:r>
        <w:rPr>
          <w:rFonts w:ascii="仿宋" w:eastAsia="仿宋" w:hAnsi="仿宋" w:hint="eastAsia"/>
          <w:sz w:val="32"/>
          <w:szCs w:val="32"/>
        </w:rPr>
        <w:t>万元，其中：</w:t>
      </w:r>
    </w:p>
    <w:p w:rsidR="00FD3477" w:rsidRDefault="00B3617E">
      <w:pPr>
        <w:spacing w:line="560" w:lineRule="exact"/>
        <w:ind w:firstLine="646"/>
        <w:rPr>
          <w:rFonts w:ascii="仿宋" w:eastAsia="仿宋" w:hAnsi="仿宋"/>
          <w:sz w:val="32"/>
          <w:szCs w:val="32"/>
        </w:rPr>
      </w:pPr>
      <w:r>
        <w:rPr>
          <w:rFonts w:ascii="仿宋" w:eastAsia="仿宋" w:hAnsi="仿宋" w:hint="eastAsia"/>
          <w:sz w:val="32"/>
          <w:szCs w:val="32"/>
        </w:rPr>
        <w:t>人员经费</w:t>
      </w:r>
      <w:r>
        <w:rPr>
          <w:rFonts w:ascii="仿宋" w:eastAsia="仿宋" w:hAnsi="仿宋"/>
          <w:sz w:val="32"/>
          <w:szCs w:val="32"/>
        </w:rPr>
        <w:t>291.88</w:t>
      </w:r>
      <w:r>
        <w:rPr>
          <w:rFonts w:ascii="仿宋" w:eastAsia="仿宋" w:hAnsi="仿宋" w:hint="eastAsia"/>
          <w:sz w:val="32"/>
          <w:szCs w:val="32"/>
        </w:rPr>
        <w:t>万元，主要包括：基本工资、津贴补贴、绩效工资、机关事业单位基本养老保险缴费、职业年金缴费、其他社会保障缴费、生活补助、住房公积金等。</w:t>
      </w:r>
      <w:r>
        <w:rPr>
          <w:rFonts w:ascii="仿宋" w:eastAsia="仿宋" w:hAnsi="仿宋"/>
          <w:sz w:val="32"/>
          <w:szCs w:val="32"/>
        </w:rPr>
        <w:br/>
      </w:r>
      <w:r>
        <w:rPr>
          <w:rFonts w:ascii="仿宋" w:eastAsia="仿宋" w:hAnsi="仿宋" w:hint="eastAsia"/>
          <w:sz w:val="32"/>
          <w:szCs w:val="32"/>
        </w:rPr>
        <w:t xml:space="preserve">　　公用经费</w:t>
      </w:r>
      <w:r>
        <w:rPr>
          <w:rFonts w:ascii="仿宋" w:eastAsia="仿宋" w:hAnsi="仿宋" w:hint="eastAsia"/>
          <w:sz w:val="32"/>
          <w:szCs w:val="32"/>
        </w:rPr>
        <w:t>23.85</w:t>
      </w:r>
      <w:r>
        <w:rPr>
          <w:rFonts w:ascii="仿宋" w:eastAsia="仿宋" w:hAnsi="仿宋" w:hint="eastAsia"/>
          <w:sz w:val="32"/>
          <w:szCs w:val="32"/>
        </w:rPr>
        <w:t>万元，主要包括：办公费、印刷费、水费、电费、邮电费、差旅费、培训费、公务接待费、劳务费、工会经费、福利费、其他商品和服务支出等。</w:t>
      </w:r>
    </w:p>
    <w:p w:rsidR="00FD3477" w:rsidRDefault="00B3617E">
      <w:pPr>
        <w:spacing w:line="600" w:lineRule="exact"/>
        <w:ind w:firstLine="640"/>
        <w:outlineLvl w:val="1"/>
        <w:rPr>
          <w:rStyle w:val="20"/>
          <w:rFonts w:ascii="黑体" w:eastAsia="黑体" w:hAnsi="黑体"/>
          <w:b w:val="0"/>
        </w:rPr>
      </w:pPr>
      <w:bookmarkStart w:id="49" w:name="_Toc15396609"/>
      <w:bookmarkStart w:id="50" w:name="_Toc15377215"/>
      <w:bookmarkStart w:id="51" w:name="_Toc20869"/>
      <w:r>
        <w:rPr>
          <w:rFonts w:ascii="黑体" w:eastAsia="黑体" w:hint="eastAsia"/>
          <w:sz w:val="32"/>
          <w:szCs w:val="32"/>
        </w:rPr>
        <w:lastRenderedPageBreak/>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49"/>
      <w:bookmarkEnd w:id="50"/>
      <w:bookmarkEnd w:id="51"/>
    </w:p>
    <w:p w:rsidR="00FD3477" w:rsidRDefault="00B3617E">
      <w:pPr>
        <w:spacing w:line="600" w:lineRule="exact"/>
        <w:ind w:firstLine="640"/>
        <w:outlineLvl w:val="2"/>
        <w:rPr>
          <w:rFonts w:ascii="仿宋" w:eastAsia="仿宋" w:hAnsi="仿宋"/>
          <w:b/>
          <w:sz w:val="32"/>
          <w:szCs w:val="32"/>
        </w:rPr>
      </w:pPr>
      <w:bookmarkStart w:id="52" w:name="_Toc15377216"/>
      <w:r>
        <w:rPr>
          <w:rFonts w:ascii="仿宋" w:eastAsia="仿宋" w:hAnsi="仿宋" w:hint="eastAsia"/>
          <w:b/>
          <w:sz w:val="32"/>
          <w:szCs w:val="32"/>
        </w:rPr>
        <w:t>（一）“三公”经费财政拨款支出决算总体情况说明</w:t>
      </w:r>
      <w:bookmarkEnd w:id="52"/>
    </w:p>
    <w:p w:rsidR="00FD3477" w:rsidRDefault="00B3617E">
      <w:pPr>
        <w:widowControl/>
        <w:spacing w:line="560" w:lineRule="exact"/>
        <w:ind w:leftChars="171" w:left="359" w:firstLine="482"/>
        <w:jc w:val="left"/>
        <w:rPr>
          <w:rFonts w:eastAsia="仿宋" w:cs="仿宋"/>
          <w:sz w:val="32"/>
          <w:szCs w:val="32"/>
        </w:rPr>
      </w:pPr>
      <w:r>
        <w:rPr>
          <w:rFonts w:eastAsia="仿宋" w:cs="仿宋" w:hint="eastAsia"/>
          <w:sz w:val="32"/>
          <w:szCs w:val="32"/>
        </w:rPr>
        <w:t>2021</w:t>
      </w:r>
      <w:r>
        <w:rPr>
          <w:rFonts w:eastAsia="仿宋" w:cs="仿宋" w:hint="eastAsia"/>
          <w:sz w:val="32"/>
          <w:szCs w:val="32"/>
        </w:rPr>
        <w:t>年度“三公”经费财政拨款支出决算为</w:t>
      </w:r>
      <w:r>
        <w:rPr>
          <w:rFonts w:eastAsia="仿宋" w:cs="仿宋" w:hint="eastAsia"/>
          <w:sz w:val="32"/>
          <w:szCs w:val="32"/>
        </w:rPr>
        <w:t>0.15</w:t>
      </w:r>
      <w:r>
        <w:rPr>
          <w:rFonts w:eastAsia="仿宋" w:cs="仿宋" w:hint="eastAsia"/>
          <w:sz w:val="32"/>
          <w:szCs w:val="32"/>
        </w:rPr>
        <w:t>万元，</w:t>
      </w:r>
      <w:r w:rsidRPr="005E1D6A">
        <w:rPr>
          <w:rFonts w:eastAsia="仿宋" w:cs="仿宋" w:hint="eastAsia"/>
          <w:sz w:val="32"/>
          <w:szCs w:val="32"/>
          <w:u w:val="thick" w:color="909090"/>
          <w:shd w:val="clear" w:color="auto" w:fill="DDDDDD"/>
        </w:rPr>
        <w:t>完成预算</w:t>
      </w:r>
      <w:r w:rsidRPr="005E1D6A">
        <w:rPr>
          <w:rFonts w:eastAsia="仿宋" w:cs="仿宋" w:hint="eastAsia"/>
          <w:sz w:val="32"/>
          <w:szCs w:val="32"/>
          <w:u w:val="thick" w:color="909090"/>
          <w:shd w:val="clear" w:color="auto" w:fill="DDDDDD"/>
        </w:rPr>
        <w:t>30%</w:t>
      </w:r>
      <w:r>
        <w:rPr>
          <w:rFonts w:eastAsia="仿宋" w:cs="仿宋" w:hint="eastAsia"/>
          <w:sz w:val="32"/>
          <w:szCs w:val="32"/>
        </w:rPr>
        <w:t>，其中：公务用车购置及运行维护费支出决算为</w:t>
      </w:r>
      <w:r>
        <w:rPr>
          <w:rFonts w:eastAsia="仿宋" w:cs="仿宋" w:hint="eastAsia"/>
          <w:sz w:val="32"/>
          <w:szCs w:val="32"/>
        </w:rPr>
        <w:t>0</w:t>
      </w:r>
      <w:r>
        <w:rPr>
          <w:rFonts w:eastAsia="仿宋" w:cs="仿宋" w:hint="eastAsia"/>
          <w:sz w:val="32"/>
          <w:szCs w:val="32"/>
        </w:rPr>
        <w:t>万元；公务接待费支出决算为</w:t>
      </w:r>
      <w:r>
        <w:rPr>
          <w:rFonts w:eastAsia="仿宋" w:cs="仿宋" w:hint="eastAsia"/>
          <w:sz w:val="32"/>
          <w:szCs w:val="32"/>
        </w:rPr>
        <w:t>0.15</w:t>
      </w:r>
      <w:r>
        <w:rPr>
          <w:rFonts w:eastAsia="仿宋" w:cs="仿宋" w:hint="eastAsia"/>
          <w:sz w:val="32"/>
          <w:szCs w:val="32"/>
        </w:rPr>
        <w:t>万元，</w:t>
      </w:r>
      <w:r w:rsidRPr="005E1D6A">
        <w:rPr>
          <w:rFonts w:eastAsia="仿宋" w:cs="仿宋" w:hint="eastAsia"/>
          <w:sz w:val="32"/>
          <w:szCs w:val="32"/>
          <w:u w:val="thick" w:color="909090"/>
          <w:shd w:val="clear" w:color="auto" w:fill="DDDDDD"/>
        </w:rPr>
        <w:t>完成预算</w:t>
      </w:r>
      <w:r w:rsidRPr="005E1D6A">
        <w:rPr>
          <w:rFonts w:eastAsia="仿宋" w:cs="仿宋" w:hint="eastAsia"/>
          <w:sz w:val="32"/>
          <w:szCs w:val="32"/>
          <w:u w:val="thick" w:color="909090"/>
          <w:shd w:val="clear" w:color="auto" w:fill="DDDDDD"/>
        </w:rPr>
        <w:t xml:space="preserve">30 </w:t>
      </w:r>
      <w:r w:rsidRPr="005E1D6A">
        <w:rPr>
          <w:rFonts w:eastAsia="仿宋" w:cs="仿宋" w:hint="eastAsia"/>
          <w:sz w:val="32"/>
          <w:szCs w:val="32"/>
          <w:u w:val="thick" w:color="909090"/>
          <w:shd w:val="clear" w:color="auto" w:fill="DDDDDD"/>
        </w:rPr>
        <w:t>%</w:t>
      </w:r>
      <w:r>
        <w:rPr>
          <w:rFonts w:eastAsia="仿宋" w:cs="仿宋" w:hint="eastAsia"/>
          <w:sz w:val="32"/>
          <w:szCs w:val="32"/>
        </w:rPr>
        <w:t>。决算数小于预算数的主要原因是我单位严格执行中央八项规定精神，认真贯彻落实中央八项规定和省委、省政府、市委、市政府、</w:t>
      </w:r>
      <w:r w:rsidR="007626F7" w:rsidRPr="007626F7">
        <w:rPr>
          <w:rFonts w:eastAsia="仿宋" w:cs="仿宋" w:hint="eastAsia"/>
          <w:sz w:val="32"/>
          <w:szCs w:val="32"/>
          <w:u w:color="46CD7E"/>
        </w:rPr>
        <w:t>县委、县政府</w:t>
      </w:r>
      <w:r>
        <w:rPr>
          <w:rFonts w:eastAsia="仿宋" w:cs="仿宋" w:hint="eastAsia"/>
          <w:sz w:val="32"/>
          <w:szCs w:val="32"/>
        </w:rPr>
        <w:t>的十项规定，进一步规范了公务用车管理、公务接待事项，三</w:t>
      </w:r>
      <w:proofErr w:type="gramStart"/>
      <w:r>
        <w:rPr>
          <w:rFonts w:eastAsia="仿宋" w:cs="仿宋" w:hint="eastAsia"/>
          <w:sz w:val="32"/>
          <w:szCs w:val="32"/>
        </w:rPr>
        <w:t>公经费</w:t>
      </w:r>
      <w:proofErr w:type="gramEnd"/>
      <w:r>
        <w:rPr>
          <w:rFonts w:eastAsia="仿宋" w:cs="仿宋" w:hint="eastAsia"/>
          <w:sz w:val="32"/>
          <w:szCs w:val="32"/>
        </w:rPr>
        <w:t>开支大幅下降。</w:t>
      </w:r>
    </w:p>
    <w:p w:rsidR="00FD3477" w:rsidRDefault="00B3617E">
      <w:pPr>
        <w:widowControl/>
        <w:spacing w:line="560" w:lineRule="exact"/>
        <w:ind w:leftChars="171" w:left="359" w:firstLine="482"/>
        <w:jc w:val="left"/>
        <w:rPr>
          <w:rFonts w:eastAsia="仿宋" w:cs="仿宋"/>
          <w:sz w:val="32"/>
          <w:szCs w:val="32"/>
        </w:rPr>
      </w:pPr>
      <w:r>
        <w:rPr>
          <w:rFonts w:eastAsia="仿宋" w:cs="仿宋" w:hint="eastAsia"/>
          <w:sz w:val="32"/>
          <w:szCs w:val="32"/>
        </w:rPr>
        <w:t>2021</w:t>
      </w:r>
      <w:r>
        <w:rPr>
          <w:rFonts w:eastAsia="仿宋" w:cs="仿宋" w:hint="eastAsia"/>
          <w:sz w:val="32"/>
          <w:szCs w:val="32"/>
        </w:rPr>
        <w:t>年度“三公”经费财政拨款支出决算数比</w:t>
      </w:r>
      <w:r>
        <w:rPr>
          <w:rFonts w:eastAsia="仿宋" w:cs="仿宋" w:hint="eastAsia"/>
          <w:sz w:val="32"/>
          <w:szCs w:val="32"/>
        </w:rPr>
        <w:t>2020</w:t>
      </w:r>
      <w:r>
        <w:rPr>
          <w:rFonts w:eastAsia="仿宋" w:cs="仿宋" w:hint="eastAsia"/>
          <w:sz w:val="32"/>
          <w:szCs w:val="32"/>
        </w:rPr>
        <w:t>年减少</w:t>
      </w:r>
      <w:r>
        <w:rPr>
          <w:rFonts w:eastAsia="仿宋" w:cs="仿宋" w:hint="eastAsia"/>
          <w:sz w:val="32"/>
          <w:szCs w:val="32"/>
        </w:rPr>
        <w:t>0.25</w:t>
      </w:r>
      <w:r>
        <w:rPr>
          <w:rFonts w:eastAsia="仿宋" w:cs="仿宋" w:hint="eastAsia"/>
          <w:sz w:val="32"/>
          <w:szCs w:val="32"/>
        </w:rPr>
        <w:t>万元，</w:t>
      </w:r>
      <w:r w:rsidRPr="005E1D6A">
        <w:rPr>
          <w:rFonts w:eastAsia="仿宋" w:cs="仿宋" w:hint="eastAsia"/>
          <w:sz w:val="32"/>
          <w:szCs w:val="32"/>
          <w:u w:val="thick" w:color="909090"/>
          <w:shd w:val="clear" w:color="auto" w:fill="DDDDDD"/>
        </w:rPr>
        <w:t>下降</w:t>
      </w:r>
      <w:r w:rsidRPr="005E1D6A">
        <w:rPr>
          <w:rFonts w:eastAsia="仿宋" w:cs="仿宋" w:hint="eastAsia"/>
          <w:sz w:val="32"/>
          <w:szCs w:val="32"/>
          <w:u w:val="thick" w:color="909090"/>
          <w:shd w:val="clear" w:color="auto" w:fill="DDDDDD"/>
        </w:rPr>
        <w:t>62.29%</w:t>
      </w:r>
      <w:r>
        <w:rPr>
          <w:rFonts w:eastAsia="仿宋" w:cs="仿宋" w:hint="eastAsia"/>
          <w:sz w:val="32"/>
          <w:szCs w:val="32"/>
        </w:rPr>
        <w:t>，其中：公务用车购置及运行维护费支出</w:t>
      </w:r>
      <w:r w:rsidR="007626F7" w:rsidRPr="007626F7">
        <w:rPr>
          <w:rFonts w:eastAsia="仿宋" w:cs="仿宋" w:hint="eastAsia"/>
          <w:sz w:val="32"/>
          <w:szCs w:val="32"/>
          <w:u w:color="46CD7E"/>
        </w:rPr>
        <w:t>决算数</w:t>
      </w:r>
      <w:r>
        <w:rPr>
          <w:rFonts w:eastAsia="仿宋" w:cs="仿宋" w:hint="eastAsia"/>
          <w:sz w:val="32"/>
          <w:szCs w:val="32"/>
        </w:rPr>
        <w:t>为</w:t>
      </w:r>
      <w:r>
        <w:rPr>
          <w:rFonts w:eastAsia="仿宋" w:cs="仿宋" w:hint="eastAsia"/>
          <w:sz w:val="32"/>
          <w:szCs w:val="32"/>
        </w:rPr>
        <w:t>0</w:t>
      </w:r>
      <w:r>
        <w:rPr>
          <w:rFonts w:eastAsia="仿宋" w:cs="仿宋" w:hint="eastAsia"/>
          <w:sz w:val="32"/>
          <w:szCs w:val="32"/>
        </w:rPr>
        <w:t>万元；公务接待费</w:t>
      </w:r>
      <w:r>
        <w:rPr>
          <w:rFonts w:eastAsia="仿宋" w:cs="仿宋" w:hint="eastAsia"/>
          <w:sz w:val="32"/>
          <w:szCs w:val="32"/>
        </w:rPr>
        <w:t>0.15</w:t>
      </w:r>
      <w:r>
        <w:rPr>
          <w:rFonts w:eastAsia="仿宋" w:cs="仿宋" w:hint="eastAsia"/>
          <w:sz w:val="32"/>
          <w:szCs w:val="32"/>
        </w:rPr>
        <w:t>万元</w:t>
      </w:r>
      <w:r w:rsidR="007626F7" w:rsidRPr="007626F7">
        <w:rPr>
          <w:rFonts w:eastAsia="仿宋" w:cs="仿宋" w:hint="eastAsia"/>
          <w:sz w:val="32"/>
          <w:szCs w:val="32"/>
          <w:u w:color="46CD7E"/>
        </w:rPr>
        <w:t>，</w:t>
      </w:r>
      <w:r>
        <w:rPr>
          <w:rFonts w:eastAsia="仿宋" w:cs="仿宋" w:hint="eastAsia"/>
          <w:sz w:val="32"/>
          <w:szCs w:val="32"/>
        </w:rPr>
        <w:t>较</w:t>
      </w:r>
      <w:r>
        <w:rPr>
          <w:rFonts w:eastAsia="仿宋" w:cs="仿宋" w:hint="eastAsia"/>
          <w:sz w:val="32"/>
          <w:szCs w:val="32"/>
        </w:rPr>
        <w:t>2020</w:t>
      </w:r>
      <w:r>
        <w:rPr>
          <w:rFonts w:eastAsia="仿宋" w:cs="仿宋" w:hint="eastAsia"/>
          <w:sz w:val="32"/>
          <w:szCs w:val="32"/>
        </w:rPr>
        <w:t>年决算数减少增加</w:t>
      </w:r>
      <w:r>
        <w:rPr>
          <w:rFonts w:eastAsia="仿宋" w:cs="仿宋" w:hint="eastAsia"/>
          <w:sz w:val="32"/>
          <w:szCs w:val="32"/>
        </w:rPr>
        <w:t>0.25</w:t>
      </w:r>
      <w:r>
        <w:rPr>
          <w:rFonts w:eastAsia="仿宋" w:cs="仿宋" w:hint="eastAsia"/>
          <w:sz w:val="32"/>
          <w:szCs w:val="32"/>
        </w:rPr>
        <w:t>万元，</w:t>
      </w:r>
      <w:r w:rsidRPr="005E1D6A">
        <w:rPr>
          <w:rFonts w:eastAsia="仿宋" w:cs="仿宋" w:hint="eastAsia"/>
          <w:sz w:val="32"/>
          <w:szCs w:val="32"/>
          <w:u w:val="thick" w:color="909090"/>
          <w:shd w:val="clear" w:color="auto" w:fill="DDDDDD"/>
        </w:rPr>
        <w:t>下降</w:t>
      </w:r>
      <w:r w:rsidRPr="005E1D6A">
        <w:rPr>
          <w:rFonts w:eastAsia="仿宋" w:cs="仿宋" w:hint="eastAsia"/>
          <w:sz w:val="32"/>
          <w:szCs w:val="32"/>
          <w:u w:val="thick" w:color="909090"/>
          <w:shd w:val="clear" w:color="auto" w:fill="DDDDDD"/>
        </w:rPr>
        <w:t>62.29%</w:t>
      </w:r>
      <w:r>
        <w:rPr>
          <w:rFonts w:eastAsia="仿宋" w:cs="仿宋" w:hint="eastAsia"/>
          <w:sz w:val="32"/>
          <w:szCs w:val="32"/>
        </w:rPr>
        <w:t xml:space="preserve">。主要原因是项目检查减少。　</w:t>
      </w:r>
    </w:p>
    <w:p w:rsidR="00FD3477" w:rsidRDefault="00B3617E">
      <w:pPr>
        <w:widowControl/>
        <w:spacing w:line="375" w:lineRule="atLeast"/>
        <w:ind w:leftChars="171" w:left="359" w:firstLine="480"/>
        <w:jc w:val="left"/>
        <w:rPr>
          <w:rFonts w:asciiTheme="minorEastAsia" w:eastAsiaTheme="minorEastAsia" w:hAnsiTheme="minorEastAsia" w:cs="宋体"/>
          <w:b/>
          <w:color w:val="000000"/>
          <w:kern w:val="0"/>
          <w:sz w:val="32"/>
          <w:szCs w:val="32"/>
        </w:rPr>
      </w:pPr>
      <w:r>
        <w:rPr>
          <w:rFonts w:asciiTheme="minorEastAsia" w:eastAsiaTheme="minorEastAsia" w:hAnsiTheme="minorEastAsia" w:cs="宋体" w:hint="eastAsia"/>
          <w:b/>
          <w:color w:val="000000"/>
          <w:kern w:val="0"/>
          <w:sz w:val="32"/>
          <w:szCs w:val="32"/>
        </w:rPr>
        <w:t xml:space="preserve">（二）“三公”经费财政拨款支出决算具体情况说明　</w:t>
      </w:r>
    </w:p>
    <w:p w:rsidR="00FD3477" w:rsidRDefault="00B3617E">
      <w:pPr>
        <w:widowControl/>
        <w:spacing w:line="560" w:lineRule="exact"/>
        <w:ind w:leftChars="171" w:left="359" w:firstLine="482"/>
        <w:jc w:val="left"/>
        <w:rPr>
          <w:rFonts w:eastAsia="仿宋" w:cs="仿宋"/>
          <w:sz w:val="32"/>
          <w:szCs w:val="32"/>
        </w:rPr>
      </w:pPr>
      <w:r>
        <w:rPr>
          <w:rFonts w:eastAsia="仿宋" w:cs="仿宋" w:hint="eastAsia"/>
          <w:sz w:val="32"/>
          <w:szCs w:val="32"/>
        </w:rPr>
        <w:t>2021</w:t>
      </w:r>
      <w:r>
        <w:rPr>
          <w:rFonts w:eastAsia="仿宋" w:cs="仿宋" w:hint="eastAsia"/>
          <w:sz w:val="32"/>
          <w:szCs w:val="32"/>
        </w:rPr>
        <w:t>年</w:t>
      </w:r>
      <w:r>
        <w:rPr>
          <w:rFonts w:eastAsia="仿宋" w:cs="仿宋" w:hint="eastAsia"/>
          <w:sz w:val="32"/>
          <w:szCs w:val="32"/>
        </w:rPr>
        <w:t>度“三公”经费财政拨款支出决算中，公务接待费支出决算</w:t>
      </w:r>
      <w:r>
        <w:rPr>
          <w:rFonts w:eastAsia="仿宋" w:cs="仿宋" w:hint="eastAsia"/>
          <w:sz w:val="32"/>
          <w:szCs w:val="32"/>
        </w:rPr>
        <w:t xml:space="preserve">0.15 </w:t>
      </w:r>
      <w:r>
        <w:rPr>
          <w:rFonts w:eastAsia="仿宋" w:cs="仿宋" w:hint="eastAsia"/>
          <w:sz w:val="32"/>
          <w:szCs w:val="32"/>
        </w:rPr>
        <w:t>万元，占预算的</w:t>
      </w:r>
      <w:r>
        <w:rPr>
          <w:rFonts w:eastAsia="仿宋" w:cs="仿宋" w:hint="eastAsia"/>
          <w:sz w:val="32"/>
          <w:szCs w:val="32"/>
        </w:rPr>
        <w:t>100%</w:t>
      </w:r>
      <w:r>
        <w:rPr>
          <w:rFonts w:eastAsia="仿宋" w:cs="仿宋" w:hint="eastAsia"/>
          <w:sz w:val="32"/>
          <w:szCs w:val="32"/>
        </w:rPr>
        <w:t>。具体情况如下</w:t>
      </w:r>
      <w:r w:rsidR="007626F7" w:rsidRPr="007626F7">
        <w:rPr>
          <w:rFonts w:eastAsia="仿宋" w:cs="仿宋" w:hint="eastAsia"/>
          <w:sz w:val="32"/>
          <w:szCs w:val="32"/>
          <w:u w:color="46CD7E"/>
        </w:rPr>
        <w:t>：</w:t>
      </w:r>
    </w:p>
    <w:p w:rsidR="00FD3477" w:rsidRDefault="00B3617E">
      <w:pPr>
        <w:widowControl/>
        <w:spacing w:line="560" w:lineRule="exact"/>
        <w:ind w:leftChars="171" w:left="359" w:firstLine="482"/>
        <w:jc w:val="left"/>
        <w:rPr>
          <w:rFonts w:eastAsia="仿宋" w:cs="仿宋"/>
          <w:sz w:val="32"/>
          <w:szCs w:val="32"/>
        </w:rPr>
      </w:pPr>
      <w:r>
        <w:rPr>
          <w:rFonts w:eastAsia="仿宋" w:cs="仿宋" w:hint="eastAsia"/>
          <w:sz w:val="32"/>
          <w:szCs w:val="32"/>
        </w:rPr>
        <w:t>2021</w:t>
      </w:r>
      <w:r>
        <w:rPr>
          <w:rFonts w:eastAsia="仿宋" w:cs="仿宋" w:hint="eastAsia"/>
          <w:sz w:val="32"/>
          <w:szCs w:val="32"/>
        </w:rPr>
        <w:t>年公务接待费</w:t>
      </w:r>
      <w:r>
        <w:rPr>
          <w:rFonts w:eastAsia="仿宋" w:cs="仿宋" w:hint="eastAsia"/>
          <w:sz w:val="32"/>
          <w:szCs w:val="32"/>
        </w:rPr>
        <w:t>0.15</w:t>
      </w:r>
      <w:r>
        <w:rPr>
          <w:rFonts w:eastAsia="仿宋" w:cs="仿宋" w:hint="eastAsia"/>
          <w:sz w:val="32"/>
          <w:szCs w:val="32"/>
        </w:rPr>
        <w:t>万元。国内公务接待</w:t>
      </w:r>
      <w:r>
        <w:rPr>
          <w:rFonts w:eastAsia="仿宋" w:cs="仿宋" w:hint="eastAsia"/>
          <w:sz w:val="32"/>
          <w:szCs w:val="32"/>
        </w:rPr>
        <w:t>5</w:t>
      </w:r>
      <w:r>
        <w:rPr>
          <w:rFonts w:eastAsia="仿宋" w:cs="仿宋" w:hint="eastAsia"/>
          <w:sz w:val="32"/>
          <w:szCs w:val="32"/>
        </w:rPr>
        <w:t>批次，</w:t>
      </w:r>
      <w:r>
        <w:rPr>
          <w:rFonts w:eastAsia="仿宋" w:cs="仿宋" w:hint="eastAsia"/>
          <w:sz w:val="32"/>
          <w:szCs w:val="32"/>
        </w:rPr>
        <w:t>15</w:t>
      </w:r>
      <w:r>
        <w:rPr>
          <w:rFonts w:eastAsia="仿宋" w:cs="仿宋" w:hint="eastAsia"/>
          <w:sz w:val="32"/>
          <w:szCs w:val="32"/>
        </w:rPr>
        <w:t>人，</w:t>
      </w:r>
      <w:r w:rsidR="007626F7" w:rsidRPr="007626F7">
        <w:rPr>
          <w:rFonts w:eastAsia="仿宋" w:cs="仿宋" w:hint="eastAsia"/>
          <w:sz w:val="32"/>
          <w:szCs w:val="32"/>
          <w:u w:color="46CD7E"/>
        </w:rPr>
        <w:t>共计支出</w:t>
      </w:r>
      <w:r>
        <w:rPr>
          <w:rFonts w:eastAsia="仿宋" w:cs="仿宋" w:hint="eastAsia"/>
          <w:sz w:val="32"/>
          <w:szCs w:val="32"/>
        </w:rPr>
        <w:t>0.15</w:t>
      </w:r>
      <w:r>
        <w:rPr>
          <w:rFonts w:eastAsia="仿宋" w:cs="仿宋" w:hint="eastAsia"/>
          <w:sz w:val="32"/>
          <w:szCs w:val="32"/>
        </w:rPr>
        <w:t>万元，主要用于接待项目检查验收等公务活动的餐费等方面开支。</w:t>
      </w:r>
    </w:p>
    <w:p w:rsidR="00FD3477" w:rsidRDefault="00B3617E">
      <w:pPr>
        <w:spacing w:line="600" w:lineRule="exact"/>
        <w:ind w:firstLine="640"/>
        <w:outlineLvl w:val="1"/>
        <w:rPr>
          <w:rStyle w:val="20"/>
          <w:rFonts w:ascii="黑体" w:eastAsia="黑体" w:hAnsi="黑体"/>
        </w:rPr>
      </w:pPr>
      <w:bookmarkStart w:id="53" w:name="_Toc15396610"/>
      <w:bookmarkStart w:id="54" w:name="_Toc15377218"/>
      <w:bookmarkStart w:id="55" w:name="_Toc2567"/>
      <w:r>
        <w:rPr>
          <w:rFonts w:ascii="黑体" w:eastAsia="黑体" w:hint="eastAsia"/>
          <w:sz w:val="32"/>
          <w:szCs w:val="32"/>
        </w:rPr>
        <w:t>八、</w:t>
      </w:r>
      <w:r>
        <w:rPr>
          <w:rStyle w:val="20"/>
          <w:rFonts w:ascii="黑体" w:eastAsia="黑体" w:hAnsi="黑体" w:hint="eastAsia"/>
          <w:b w:val="0"/>
        </w:rPr>
        <w:t>政府性基金预算支出决算情况说明</w:t>
      </w:r>
      <w:bookmarkEnd w:id="53"/>
      <w:bookmarkEnd w:id="54"/>
      <w:bookmarkEnd w:id="55"/>
    </w:p>
    <w:p w:rsidR="00FD3477" w:rsidRDefault="00B3617E">
      <w:pPr>
        <w:spacing w:line="560" w:lineRule="exact"/>
        <w:ind w:firstLine="64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年政府性基金预算财政拨款支出</w:t>
      </w:r>
      <w:r>
        <w:rPr>
          <w:rFonts w:ascii="仿宋" w:eastAsia="仿宋" w:hAnsi="仿宋" w:hint="eastAsia"/>
          <w:sz w:val="32"/>
          <w:szCs w:val="32"/>
        </w:rPr>
        <w:t>0</w:t>
      </w:r>
      <w:r>
        <w:rPr>
          <w:rFonts w:ascii="仿宋" w:eastAsia="仿宋" w:hAnsi="仿宋" w:hint="eastAsia"/>
          <w:sz w:val="32"/>
          <w:szCs w:val="32"/>
        </w:rPr>
        <w:t>万元。</w:t>
      </w:r>
    </w:p>
    <w:p w:rsidR="00FD3477" w:rsidRDefault="00B3617E">
      <w:pPr>
        <w:numPr>
          <w:ilvl w:val="0"/>
          <w:numId w:val="2"/>
        </w:numPr>
        <w:spacing w:line="600" w:lineRule="exact"/>
        <w:ind w:firstLine="640"/>
        <w:outlineLvl w:val="1"/>
        <w:rPr>
          <w:rStyle w:val="20"/>
          <w:rFonts w:ascii="黑体" w:eastAsia="黑体" w:hAnsi="黑体"/>
          <w:b w:val="0"/>
        </w:rPr>
      </w:pPr>
      <w:bookmarkStart w:id="56" w:name="_Toc15396611"/>
      <w:bookmarkStart w:id="57" w:name="_Toc15377219"/>
      <w:bookmarkStart w:id="58" w:name="_Toc27131"/>
      <w:r>
        <w:rPr>
          <w:rStyle w:val="20"/>
          <w:rFonts w:ascii="黑体" w:eastAsia="黑体" w:hAnsi="黑体" w:hint="eastAsia"/>
          <w:b w:val="0"/>
        </w:rPr>
        <w:t>国有资本经营预算支出决算情况说明</w:t>
      </w:r>
      <w:bookmarkEnd w:id="56"/>
      <w:bookmarkEnd w:id="57"/>
      <w:bookmarkEnd w:id="58"/>
    </w:p>
    <w:p w:rsidR="00FD3477" w:rsidRDefault="00B3617E">
      <w:pPr>
        <w:spacing w:line="560" w:lineRule="exact"/>
        <w:ind w:firstLine="641"/>
        <w:rPr>
          <w:rFonts w:ascii="仿宋" w:eastAsia="仿宋" w:hAnsi="仿宋"/>
          <w:sz w:val="32"/>
          <w:szCs w:val="32"/>
        </w:rPr>
      </w:pPr>
      <w:r>
        <w:rPr>
          <w:rFonts w:ascii="仿宋" w:eastAsia="仿宋" w:hAnsi="仿宋"/>
          <w:sz w:val="32"/>
          <w:szCs w:val="32"/>
        </w:rPr>
        <w:lastRenderedPageBreak/>
        <w:t>20</w:t>
      </w:r>
      <w:r>
        <w:rPr>
          <w:rFonts w:ascii="仿宋" w:eastAsia="仿宋" w:hAnsi="仿宋" w:hint="eastAsia"/>
          <w:sz w:val="32"/>
          <w:szCs w:val="32"/>
        </w:rPr>
        <w:t>21</w:t>
      </w:r>
      <w:r>
        <w:rPr>
          <w:rFonts w:ascii="仿宋" w:eastAsia="仿宋" w:hAnsi="仿宋" w:hint="eastAsia"/>
          <w:sz w:val="32"/>
          <w:szCs w:val="32"/>
        </w:rPr>
        <w:t>年国有资本经营预算财政拨款支出</w:t>
      </w:r>
      <w:r>
        <w:rPr>
          <w:rFonts w:ascii="仿宋" w:eastAsia="仿宋" w:hAnsi="仿宋" w:hint="eastAsia"/>
          <w:sz w:val="32"/>
          <w:szCs w:val="32"/>
        </w:rPr>
        <w:t>0</w:t>
      </w:r>
      <w:r>
        <w:rPr>
          <w:rFonts w:ascii="仿宋" w:eastAsia="仿宋" w:hAnsi="仿宋" w:hint="eastAsia"/>
          <w:sz w:val="32"/>
          <w:szCs w:val="32"/>
        </w:rPr>
        <w:t>万元。</w:t>
      </w:r>
    </w:p>
    <w:p w:rsidR="00FD3477" w:rsidRDefault="00B3617E">
      <w:pPr>
        <w:numPr>
          <w:ilvl w:val="0"/>
          <w:numId w:val="2"/>
        </w:numPr>
        <w:spacing w:line="600" w:lineRule="exact"/>
        <w:ind w:firstLine="640"/>
        <w:outlineLvl w:val="1"/>
        <w:rPr>
          <w:rStyle w:val="20"/>
          <w:rFonts w:ascii="黑体" w:eastAsia="黑体" w:hAnsi="黑体"/>
          <w:b w:val="0"/>
        </w:rPr>
      </w:pPr>
      <w:bookmarkStart w:id="59" w:name="_Toc15396612"/>
      <w:bookmarkStart w:id="60" w:name="_Toc15377221"/>
      <w:bookmarkStart w:id="61" w:name="_Toc17572"/>
      <w:r>
        <w:rPr>
          <w:rStyle w:val="20"/>
          <w:rFonts w:ascii="黑体" w:eastAsia="黑体" w:hAnsi="黑体" w:hint="eastAsia"/>
          <w:b w:val="0"/>
        </w:rPr>
        <w:t>其他重要事项的情况说明</w:t>
      </w:r>
      <w:bookmarkEnd w:id="59"/>
      <w:bookmarkEnd w:id="60"/>
      <w:bookmarkEnd w:id="61"/>
    </w:p>
    <w:p w:rsidR="00FD3477" w:rsidRDefault="00B3617E">
      <w:pPr>
        <w:spacing w:line="600" w:lineRule="exact"/>
        <w:ind w:firstLineChars="200" w:firstLine="643"/>
        <w:outlineLvl w:val="2"/>
        <w:rPr>
          <w:rFonts w:ascii="仿宋" w:eastAsia="仿宋" w:hAnsi="仿宋"/>
          <w:sz w:val="32"/>
          <w:szCs w:val="32"/>
        </w:rPr>
      </w:pPr>
      <w:bookmarkStart w:id="62" w:name="_Toc15377222"/>
      <w:r>
        <w:rPr>
          <w:rFonts w:ascii="仿宋" w:eastAsia="仿宋" w:hAnsi="仿宋" w:hint="eastAsia"/>
          <w:b/>
          <w:sz w:val="32"/>
          <w:szCs w:val="32"/>
        </w:rPr>
        <w:t>（一）机关运行经费支出情况</w:t>
      </w:r>
      <w:bookmarkEnd w:id="62"/>
    </w:p>
    <w:p w:rsidR="00FD3477" w:rsidRDefault="00B3617E">
      <w:pPr>
        <w:spacing w:line="56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年，通江县种子管理站机关运行经费支出</w:t>
      </w:r>
      <w:r>
        <w:rPr>
          <w:rFonts w:ascii="仿宋" w:eastAsia="仿宋" w:hAnsi="仿宋" w:hint="eastAsia"/>
          <w:sz w:val="32"/>
          <w:szCs w:val="32"/>
        </w:rPr>
        <w:t>0</w:t>
      </w:r>
      <w:r>
        <w:rPr>
          <w:rFonts w:ascii="仿宋" w:eastAsia="仿宋" w:hAnsi="仿宋" w:hint="eastAsia"/>
          <w:sz w:val="32"/>
          <w:szCs w:val="32"/>
        </w:rPr>
        <w:t>万元。</w:t>
      </w:r>
    </w:p>
    <w:p w:rsidR="00FD3477" w:rsidRDefault="00B3617E">
      <w:pPr>
        <w:autoSpaceDE w:val="0"/>
        <w:autoSpaceDN w:val="0"/>
        <w:adjustRightInd w:val="0"/>
        <w:spacing w:line="600" w:lineRule="exact"/>
        <w:ind w:firstLineChars="200" w:firstLine="643"/>
        <w:jc w:val="left"/>
        <w:outlineLvl w:val="2"/>
        <w:rPr>
          <w:rFonts w:ascii="仿宋" w:eastAsia="仿宋" w:hAnsi="仿宋"/>
          <w:b/>
          <w:sz w:val="32"/>
          <w:szCs w:val="32"/>
        </w:rPr>
      </w:pPr>
      <w:bookmarkStart w:id="63" w:name="_Toc15377223"/>
      <w:r>
        <w:rPr>
          <w:rFonts w:ascii="仿宋" w:eastAsia="仿宋" w:hAnsi="仿宋" w:hint="eastAsia"/>
          <w:b/>
          <w:sz w:val="32"/>
          <w:szCs w:val="32"/>
        </w:rPr>
        <w:t>（二）政府采购支出情况</w:t>
      </w:r>
      <w:bookmarkEnd w:id="63"/>
    </w:p>
    <w:p w:rsidR="00FD3477" w:rsidRDefault="00B3617E">
      <w:pPr>
        <w:spacing w:line="56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年，通江县种子管理站政府采购支出总额</w:t>
      </w:r>
      <w:r>
        <w:rPr>
          <w:rFonts w:ascii="仿宋" w:eastAsia="仿宋" w:hAnsi="仿宋" w:hint="eastAsia"/>
          <w:sz w:val="32"/>
          <w:szCs w:val="32"/>
        </w:rPr>
        <w:t>14.23</w:t>
      </w:r>
      <w:r>
        <w:rPr>
          <w:rFonts w:ascii="仿宋" w:eastAsia="仿宋" w:hAnsi="仿宋" w:hint="eastAsia"/>
          <w:sz w:val="32"/>
          <w:szCs w:val="32"/>
        </w:rPr>
        <w:t>万元，其中：政府采购货物支出</w:t>
      </w:r>
      <w:r>
        <w:rPr>
          <w:rFonts w:ascii="仿宋" w:eastAsia="仿宋" w:hAnsi="仿宋" w:hint="eastAsia"/>
          <w:sz w:val="32"/>
          <w:szCs w:val="32"/>
        </w:rPr>
        <w:t>14.23</w:t>
      </w:r>
      <w:r>
        <w:rPr>
          <w:rFonts w:ascii="仿宋" w:eastAsia="仿宋" w:hAnsi="仿宋" w:hint="eastAsia"/>
          <w:sz w:val="32"/>
          <w:szCs w:val="32"/>
        </w:rPr>
        <w:t>万元、政府采购工程支出</w:t>
      </w:r>
      <w:r>
        <w:rPr>
          <w:rFonts w:ascii="仿宋" w:eastAsia="仿宋" w:hAnsi="仿宋" w:hint="eastAsia"/>
          <w:sz w:val="32"/>
          <w:szCs w:val="32"/>
        </w:rPr>
        <w:t>0</w:t>
      </w:r>
      <w:r>
        <w:rPr>
          <w:rFonts w:ascii="仿宋" w:eastAsia="仿宋" w:hAnsi="仿宋" w:hint="eastAsia"/>
          <w:sz w:val="32"/>
          <w:szCs w:val="32"/>
        </w:rPr>
        <w:t>万元、政府采购服务支出</w:t>
      </w:r>
      <w:r>
        <w:rPr>
          <w:rFonts w:ascii="仿宋" w:eastAsia="仿宋" w:hAnsi="仿宋" w:hint="eastAsia"/>
          <w:sz w:val="32"/>
          <w:szCs w:val="32"/>
        </w:rPr>
        <w:t>0</w:t>
      </w:r>
      <w:r>
        <w:rPr>
          <w:rFonts w:ascii="仿宋" w:eastAsia="仿宋" w:hAnsi="仿宋" w:hint="eastAsia"/>
          <w:sz w:val="32"/>
          <w:szCs w:val="32"/>
        </w:rPr>
        <w:t>万元。主要用于实验室仪器设备更新。授予中小企业合同金额</w:t>
      </w:r>
      <w:r>
        <w:rPr>
          <w:rFonts w:ascii="仿宋" w:eastAsia="仿宋" w:hAnsi="仿宋" w:hint="eastAsia"/>
          <w:sz w:val="32"/>
          <w:szCs w:val="32"/>
        </w:rPr>
        <w:t>14.23</w:t>
      </w:r>
      <w:r>
        <w:rPr>
          <w:rFonts w:ascii="仿宋" w:eastAsia="仿宋" w:hAnsi="仿宋" w:hint="eastAsia"/>
          <w:sz w:val="32"/>
          <w:szCs w:val="32"/>
        </w:rPr>
        <w:t>万元，</w:t>
      </w:r>
      <w:r w:rsidRPr="005E1D6A">
        <w:rPr>
          <w:rFonts w:ascii="仿宋" w:eastAsia="仿宋" w:hAnsi="仿宋" w:hint="eastAsia"/>
          <w:sz w:val="32"/>
          <w:szCs w:val="32"/>
          <w:u w:val="thick" w:color="909090"/>
          <w:shd w:val="clear" w:color="auto" w:fill="DDDDDD"/>
        </w:rPr>
        <w:t>占政府采购支出总额的</w:t>
      </w:r>
      <w:r w:rsidRPr="005E1D6A">
        <w:rPr>
          <w:rFonts w:ascii="仿宋" w:eastAsia="仿宋" w:hAnsi="仿宋" w:hint="eastAsia"/>
          <w:sz w:val="32"/>
          <w:szCs w:val="32"/>
          <w:u w:val="thick" w:color="909090"/>
          <w:shd w:val="clear" w:color="auto" w:fill="DDDDDD"/>
        </w:rPr>
        <w:t>100</w:t>
      </w:r>
      <w:r w:rsidRPr="005E1D6A">
        <w:rPr>
          <w:rFonts w:ascii="仿宋" w:eastAsia="仿宋" w:hAnsi="仿宋"/>
          <w:sz w:val="32"/>
          <w:szCs w:val="32"/>
          <w:u w:val="thick" w:color="909090"/>
          <w:shd w:val="clear" w:color="auto" w:fill="DDDDDD"/>
        </w:rPr>
        <w:t>%</w:t>
      </w:r>
      <w:r>
        <w:rPr>
          <w:rFonts w:ascii="仿宋" w:eastAsia="仿宋" w:hAnsi="仿宋" w:hint="eastAsia"/>
          <w:sz w:val="32"/>
          <w:szCs w:val="32"/>
        </w:rPr>
        <w:t>，其中：授予小</w:t>
      </w:r>
      <w:proofErr w:type="gramStart"/>
      <w:r>
        <w:rPr>
          <w:rFonts w:ascii="仿宋" w:eastAsia="仿宋" w:hAnsi="仿宋" w:hint="eastAsia"/>
          <w:sz w:val="32"/>
          <w:szCs w:val="32"/>
        </w:rPr>
        <w:t>微企业</w:t>
      </w:r>
      <w:proofErr w:type="gramEnd"/>
      <w:r>
        <w:rPr>
          <w:rFonts w:ascii="仿宋" w:eastAsia="仿宋" w:hAnsi="仿宋" w:hint="eastAsia"/>
          <w:sz w:val="32"/>
          <w:szCs w:val="32"/>
        </w:rPr>
        <w:t>合同金额</w:t>
      </w:r>
      <w:r>
        <w:rPr>
          <w:rFonts w:ascii="仿宋" w:eastAsia="仿宋" w:hAnsi="仿宋" w:hint="eastAsia"/>
          <w:sz w:val="32"/>
          <w:szCs w:val="32"/>
        </w:rPr>
        <w:t>14.23</w:t>
      </w:r>
      <w:r>
        <w:rPr>
          <w:rFonts w:ascii="仿宋" w:eastAsia="仿宋" w:hAnsi="仿宋" w:hint="eastAsia"/>
          <w:sz w:val="32"/>
          <w:szCs w:val="32"/>
        </w:rPr>
        <w:t>万元，</w:t>
      </w:r>
      <w:r w:rsidRPr="005E1D6A">
        <w:rPr>
          <w:rFonts w:ascii="仿宋" w:eastAsia="仿宋" w:hAnsi="仿宋" w:hint="eastAsia"/>
          <w:sz w:val="32"/>
          <w:szCs w:val="32"/>
          <w:u w:val="thick" w:color="909090"/>
          <w:shd w:val="clear" w:color="auto" w:fill="DDDDDD"/>
        </w:rPr>
        <w:t>占政府采购支出总额的</w:t>
      </w:r>
      <w:r w:rsidRPr="005E1D6A">
        <w:rPr>
          <w:rFonts w:ascii="仿宋" w:eastAsia="仿宋" w:hAnsi="仿宋" w:hint="eastAsia"/>
          <w:sz w:val="32"/>
          <w:szCs w:val="32"/>
          <w:u w:val="thick" w:color="909090"/>
          <w:shd w:val="clear" w:color="auto" w:fill="DDDDDD"/>
        </w:rPr>
        <w:t>100</w:t>
      </w:r>
      <w:r w:rsidRPr="005E1D6A">
        <w:rPr>
          <w:rFonts w:ascii="仿宋" w:eastAsia="仿宋" w:hAnsi="仿宋"/>
          <w:sz w:val="32"/>
          <w:szCs w:val="32"/>
          <w:u w:val="thick" w:color="909090"/>
          <w:shd w:val="clear" w:color="auto" w:fill="DDDDDD"/>
        </w:rPr>
        <w:t>%</w:t>
      </w:r>
      <w:r>
        <w:rPr>
          <w:rFonts w:ascii="仿宋" w:eastAsia="仿宋" w:hAnsi="仿宋" w:hint="eastAsia"/>
          <w:sz w:val="32"/>
          <w:szCs w:val="32"/>
        </w:rPr>
        <w:t>。</w:t>
      </w:r>
    </w:p>
    <w:p w:rsidR="00FD3477" w:rsidRDefault="00B3617E">
      <w:pPr>
        <w:autoSpaceDE w:val="0"/>
        <w:autoSpaceDN w:val="0"/>
        <w:adjustRightInd w:val="0"/>
        <w:spacing w:line="600" w:lineRule="exact"/>
        <w:ind w:firstLineChars="200" w:firstLine="643"/>
        <w:jc w:val="left"/>
        <w:outlineLvl w:val="2"/>
        <w:rPr>
          <w:rFonts w:ascii="仿宋" w:eastAsia="仿宋" w:hAnsi="仿宋"/>
          <w:b/>
          <w:sz w:val="32"/>
          <w:szCs w:val="32"/>
        </w:rPr>
      </w:pPr>
      <w:bookmarkStart w:id="64" w:name="_Toc15377224"/>
      <w:r>
        <w:rPr>
          <w:rFonts w:ascii="仿宋" w:eastAsia="仿宋" w:hAnsi="仿宋" w:hint="eastAsia"/>
          <w:b/>
          <w:sz w:val="32"/>
          <w:szCs w:val="32"/>
        </w:rPr>
        <w:t>（三）国有资产占有使用情况</w:t>
      </w:r>
      <w:bookmarkEnd w:id="64"/>
    </w:p>
    <w:p w:rsidR="00FD3477" w:rsidRDefault="00B3617E">
      <w:pPr>
        <w:autoSpaceDE w:val="0"/>
        <w:autoSpaceDN w:val="0"/>
        <w:adjustRightInd w:val="0"/>
        <w:spacing w:line="560" w:lineRule="exact"/>
        <w:ind w:firstLineChars="200" w:firstLine="640"/>
        <w:jc w:val="left"/>
        <w:rPr>
          <w:rFonts w:ascii="仿宋" w:eastAsia="仿宋" w:hAnsi="仿宋"/>
          <w:sz w:val="32"/>
          <w:szCs w:val="32"/>
        </w:rPr>
      </w:pPr>
      <w:r>
        <w:rPr>
          <w:rFonts w:ascii="仿宋" w:eastAsia="仿宋" w:hAnsi="仿宋" w:hint="eastAsia"/>
          <w:sz w:val="32"/>
          <w:szCs w:val="32"/>
        </w:rPr>
        <w:t>截至</w:t>
      </w: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w:t>
      </w:r>
      <w:r>
        <w:rPr>
          <w:rFonts w:ascii="仿宋" w:eastAsia="仿宋" w:hAnsi="仿宋"/>
          <w:sz w:val="32"/>
          <w:szCs w:val="32"/>
        </w:rPr>
        <w:t>12</w:t>
      </w:r>
      <w:r>
        <w:rPr>
          <w:rFonts w:ascii="仿宋" w:eastAsia="仿宋" w:hAnsi="仿宋" w:hint="eastAsia"/>
          <w:sz w:val="32"/>
          <w:szCs w:val="32"/>
        </w:rPr>
        <w:t>月</w:t>
      </w:r>
      <w:r>
        <w:rPr>
          <w:rFonts w:ascii="仿宋" w:eastAsia="仿宋" w:hAnsi="仿宋"/>
          <w:sz w:val="32"/>
          <w:szCs w:val="32"/>
        </w:rPr>
        <w:t>31</w:t>
      </w:r>
      <w:r>
        <w:rPr>
          <w:rFonts w:ascii="仿宋" w:eastAsia="仿宋" w:hAnsi="仿宋" w:hint="eastAsia"/>
          <w:sz w:val="32"/>
          <w:szCs w:val="32"/>
        </w:rPr>
        <w:t>日，通江县种子管理站共有车辆</w:t>
      </w:r>
      <w:r>
        <w:rPr>
          <w:rFonts w:ascii="仿宋" w:eastAsia="仿宋" w:hAnsi="仿宋" w:hint="eastAsia"/>
          <w:sz w:val="32"/>
          <w:szCs w:val="32"/>
        </w:rPr>
        <w:t>0</w:t>
      </w:r>
      <w:r>
        <w:rPr>
          <w:rFonts w:ascii="仿宋" w:eastAsia="仿宋" w:hAnsi="仿宋" w:hint="eastAsia"/>
          <w:sz w:val="32"/>
          <w:szCs w:val="32"/>
        </w:rPr>
        <w:t>辆，单价</w:t>
      </w:r>
      <w:r>
        <w:rPr>
          <w:rFonts w:ascii="仿宋" w:eastAsia="仿宋" w:hAnsi="仿宋"/>
          <w:sz w:val="32"/>
          <w:szCs w:val="32"/>
        </w:rPr>
        <w:t>50</w:t>
      </w:r>
      <w:r>
        <w:rPr>
          <w:rFonts w:ascii="仿宋" w:eastAsia="仿宋" w:hAnsi="仿宋" w:hint="eastAsia"/>
          <w:sz w:val="32"/>
          <w:szCs w:val="32"/>
        </w:rPr>
        <w:t>万元以上通用设备</w:t>
      </w:r>
      <w:r>
        <w:rPr>
          <w:rFonts w:ascii="仿宋" w:eastAsia="仿宋" w:hAnsi="仿宋" w:hint="eastAsia"/>
          <w:sz w:val="32"/>
          <w:szCs w:val="32"/>
        </w:rPr>
        <w:t>0</w:t>
      </w:r>
      <w:r>
        <w:rPr>
          <w:rFonts w:ascii="仿宋" w:eastAsia="仿宋" w:hAnsi="仿宋" w:hint="eastAsia"/>
          <w:sz w:val="32"/>
          <w:szCs w:val="32"/>
        </w:rPr>
        <w:t>台（套），单价</w:t>
      </w:r>
      <w:r>
        <w:rPr>
          <w:rFonts w:ascii="仿宋" w:eastAsia="仿宋" w:hAnsi="仿宋"/>
          <w:sz w:val="32"/>
          <w:szCs w:val="32"/>
        </w:rPr>
        <w:t>100</w:t>
      </w:r>
      <w:r>
        <w:rPr>
          <w:rFonts w:ascii="仿宋" w:eastAsia="仿宋" w:hAnsi="仿宋" w:hint="eastAsia"/>
          <w:sz w:val="32"/>
          <w:szCs w:val="32"/>
        </w:rPr>
        <w:t>万元以上专用设备</w:t>
      </w:r>
      <w:r>
        <w:rPr>
          <w:rFonts w:ascii="仿宋" w:eastAsia="仿宋" w:hAnsi="仿宋" w:hint="eastAsia"/>
          <w:sz w:val="32"/>
          <w:szCs w:val="32"/>
        </w:rPr>
        <w:t>0</w:t>
      </w:r>
      <w:r>
        <w:rPr>
          <w:rFonts w:ascii="仿宋" w:eastAsia="仿宋" w:hAnsi="仿宋" w:hint="eastAsia"/>
          <w:sz w:val="32"/>
          <w:szCs w:val="32"/>
        </w:rPr>
        <w:t>台（套）。</w:t>
      </w:r>
    </w:p>
    <w:p w:rsidR="00FD3477" w:rsidRDefault="00B3617E">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FD3477" w:rsidRDefault="00B3617E">
      <w:pPr>
        <w:pStyle w:val="a0"/>
        <w:spacing w:before="93"/>
        <w:ind w:firstLineChars="300" w:firstLine="960"/>
        <w:rPr>
          <w:rFonts w:ascii="仿宋" w:eastAsia="仿宋" w:hAnsi="仿宋" w:cs="仿宋_GB2312"/>
          <w:sz w:val="32"/>
          <w:szCs w:val="32"/>
        </w:rPr>
      </w:pPr>
      <w:r>
        <w:rPr>
          <w:rFonts w:ascii="仿宋" w:eastAsia="仿宋" w:hAnsi="仿宋" w:cs="仿宋_GB2312" w:hint="eastAsia"/>
          <w:sz w:val="32"/>
          <w:szCs w:val="32"/>
        </w:rPr>
        <w:t>根据预算绩效管理要求，本单位在</w:t>
      </w:r>
      <w:r>
        <w:rPr>
          <w:rFonts w:ascii="仿宋" w:eastAsia="仿宋" w:hAnsi="仿宋" w:cs="仿宋_GB2312" w:hint="eastAsia"/>
          <w:sz w:val="32"/>
          <w:szCs w:val="32"/>
        </w:rPr>
        <w:t>2021</w:t>
      </w:r>
      <w:r>
        <w:rPr>
          <w:rFonts w:ascii="仿宋" w:eastAsia="仿宋" w:hAnsi="仿宋" w:cs="仿宋_GB2312" w:hint="eastAsia"/>
          <w:sz w:val="32"/>
          <w:szCs w:val="32"/>
        </w:rPr>
        <w:t>年度预算编制阶段，对单位整体支出开展了预算事前绩效评估，在预算执行过程中，开展绩效监控，年终执行完毕后，对单位整体支出开展了绩效自评。</w:t>
      </w:r>
    </w:p>
    <w:p w:rsidR="00FD3477" w:rsidRDefault="00FD3477">
      <w:pPr>
        <w:pStyle w:val="a0"/>
        <w:spacing w:before="93"/>
        <w:ind w:firstLineChars="300" w:firstLine="960"/>
        <w:rPr>
          <w:rFonts w:ascii="仿宋" w:eastAsia="仿宋" w:hAnsi="仿宋" w:cs="仿宋_GB2312"/>
          <w:sz w:val="32"/>
          <w:szCs w:val="32"/>
        </w:rPr>
      </w:pPr>
    </w:p>
    <w:p w:rsidR="00FD3477" w:rsidRDefault="00FD3477">
      <w:pPr>
        <w:pStyle w:val="a0"/>
        <w:spacing w:before="93"/>
        <w:ind w:firstLineChars="300" w:firstLine="900"/>
        <w:rPr>
          <w:rFonts w:ascii="仿宋" w:eastAsia="仿宋" w:hAnsi="仿宋"/>
        </w:rPr>
      </w:pPr>
    </w:p>
    <w:p w:rsidR="00FD3477" w:rsidRDefault="00FD3477">
      <w:pPr>
        <w:widowControl/>
        <w:spacing w:line="375" w:lineRule="atLeast"/>
        <w:ind w:leftChars="171" w:left="359" w:firstLine="480"/>
        <w:jc w:val="left"/>
        <w:rPr>
          <w:rFonts w:ascii="仿宋" w:eastAsia="仿宋" w:hAnsi="仿宋" w:cs="仿宋"/>
          <w:sz w:val="32"/>
          <w:szCs w:val="32"/>
        </w:rPr>
      </w:pPr>
    </w:p>
    <w:p w:rsidR="00FD3477" w:rsidRDefault="00B3617E">
      <w:pPr>
        <w:numPr>
          <w:ilvl w:val="0"/>
          <w:numId w:val="3"/>
        </w:numPr>
        <w:spacing w:line="600" w:lineRule="exact"/>
        <w:ind w:firstLineChars="150" w:firstLine="660"/>
        <w:jc w:val="center"/>
        <w:outlineLvl w:val="0"/>
        <w:rPr>
          <w:rStyle w:val="10"/>
          <w:rFonts w:ascii="黑体" w:eastAsia="黑体" w:hAnsi="黑体"/>
          <w:b w:val="0"/>
        </w:rPr>
      </w:pPr>
      <w:bookmarkStart w:id="65" w:name="_Toc15396613"/>
      <w:bookmarkStart w:id="66" w:name="_Toc15377225"/>
      <w:bookmarkStart w:id="67" w:name="_Toc16457"/>
      <w:r>
        <w:rPr>
          <w:rFonts w:ascii="黑体" w:eastAsia="黑体" w:hAnsi="黑体" w:hint="eastAsia"/>
          <w:sz w:val="44"/>
          <w:szCs w:val="44"/>
        </w:rPr>
        <w:lastRenderedPageBreak/>
        <w:t>名</w:t>
      </w:r>
      <w:r>
        <w:rPr>
          <w:rStyle w:val="10"/>
          <w:rFonts w:ascii="黑体" w:eastAsia="黑体" w:hAnsi="黑体" w:hint="eastAsia"/>
          <w:b w:val="0"/>
        </w:rPr>
        <w:t>词解释</w:t>
      </w:r>
      <w:bookmarkEnd w:id="65"/>
      <w:bookmarkEnd w:id="66"/>
      <w:bookmarkEnd w:id="67"/>
    </w:p>
    <w:p w:rsidR="00FD3477" w:rsidRDefault="00FD3477">
      <w:pPr>
        <w:spacing w:line="600" w:lineRule="exact"/>
        <w:jc w:val="left"/>
        <w:rPr>
          <w:rFonts w:ascii="宋体"/>
          <w:b/>
          <w:sz w:val="44"/>
          <w:szCs w:val="44"/>
        </w:rPr>
      </w:pPr>
    </w:p>
    <w:p w:rsidR="00FD3477" w:rsidRDefault="00B3617E">
      <w:pPr>
        <w:pStyle w:val="Default"/>
        <w:spacing w:line="560" w:lineRule="exact"/>
        <w:ind w:firstLineChars="200" w:firstLine="643"/>
        <w:rPr>
          <w:rFonts w:hAnsi="仿宋"/>
          <w:b/>
          <w:sz w:val="32"/>
          <w:szCs w:val="32"/>
        </w:rPr>
      </w:pPr>
      <w:r>
        <w:rPr>
          <w:rFonts w:hAnsi="仿宋"/>
          <w:b/>
          <w:sz w:val="32"/>
          <w:szCs w:val="32"/>
        </w:rPr>
        <w:t>1</w:t>
      </w:r>
      <w:r w:rsidR="007626F7" w:rsidRPr="007626F7">
        <w:rPr>
          <w:rFonts w:hAnsi="仿宋"/>
          <w:b/>
          <w:sz w:val="32"/>
          <w:szCs w:val="32"/>
          <w:u w:color="46CD7E"/>
        </w:rPr>
        <w:t>.</w:t>
      </w:r>
      <w:r>
        <w:rPr>
          <w:rFonts w:hAnsi="仿宋" w:hint="eastAsia"/>
          <w:b/>
          <w:sz w:val="32"/>
          <w:szCs w:val="32"/>
        </w:rPr>
        <w:t>财政拨款收入：指单位从同级财政部门取得的财政预算资金。</w:t>
      </w:r>
    </w:p>
    <w:p w:rsidR="00FD3477" w:rsidRDefault="00B3617E">
      <w:pPr>
        <w:pStyle w:val="Default"/>
        <w:spacing w:line="560" w:lineRule="exact"/>
        <w:ind w:firstLineChars="200" w:firstLine="643"/>
        <w:rPr>
          <w:rFonts w:hAnsi="仿宋"/>
          <w:b/>
          <w:sz w:val="32"/>
          <w:szCs w:val="32"/>
        </w:rPr>
      </w:pPr>
      <w:r>
        <w:rPr>
          <w:rFonts w:hAnsi="仿宋" w:hint="eastAsia"/>
          <w:b/>
          <w:sz w:val="32"/>
          <w:szCs w:val="32"/>
        </w:rPr>
        <w:t>2</w:t>
      </w:r>
      <w:r w:rsidR="007626F7" w:rsidRPr="007626F7">
        <w:rPr>
          <w:rFonts w:hAnsi="仿宋"/>
          <w:b/>
          <w:sz w:val="32"/>
          <w:szCs w:val="32"/>
          <w:u w:color="46CD7E"/>
        </w:rPr>
        <w:t>.</w:t>
      </w:r>
      <w:r>
        <w:rPr>
          <w:rFonts w:hAnsi="仿宋" w:hint="eastAsia"/>
          <w:b/>
          <w:sz w:val="32"/>
          <w:szCs w:val="32"/>
        </w:rPr>
        <w:t>其他收入：指单位取得的除上述收入以外的各项收入。主要是单位银行存款利息收入及财政利用结存资金拨付的各项目专项经费等。</w:t>
      </w:r>
      <w:r>
        <w:rPr>
          <w:rFonts w:hAnsi="仿宋"/>
          <w:b/>
          <w:sz w:val="32"/>
          <w:szCs w:val="32"/>
        </w:rPr>
        <w:t xml:space="preserve"> </w:t>
      </w:r>
    </w:p>
    <w:p w:rsidR="00FD3477" w:rsidRDefault="00B3617E">
      <w:pPr>
        <w:ind w:firstLineChars="200" w:firstLine="643"/>
        <w:rPr>
          <w:rFonts w:ascii="仿宋" w:eastAsia="仿宋" w:hAnsi="仿宋"/>
          <w:b/>
          <w:color w:val="000000"/>
          <w:sz w:val="32"/>
          <w:szCs w:val="32"/>
        </w:rPr>
      </w:pPr>
      <w:r>
        <w:rPr>
          <w:rFonts w:ascii="仿宋" w:eastAsia="仿宋" w:hAnsi="仿宋" w:hint="eastAsia"/>
          <w:b/>
          <w:color w:val="000000"/>
          <w:sz w:val="32"/>
          <w:szCs w:val="32"/>
        </w:rPr>
        <w:t>3</w:t>
      </w:r>
      <w:r w:rsidR="007626F7" w:rsidRPr="007626F7">
        <w:rPr>
          <w:rFonts w:ascii="仿宋" w:eastAsia="仿宋" w:hAnsi="仿宋"/>
          <w:b/>
          <w:color w:val="000000"/>
          <w:sz w:val="32"/>
          <w:szCs w:val="32"/>
          <w:u w:color="46CD7E"/>
        </w:rPr>
        <w:t>.</w:t>
      </w:r>
      <w:bookmarkStart w:id="68" w:name="_GoBack"/>
      <w:bookmarkEnd w:id="68"/>
      <w:r>
        <w:rPr>
          <w:rFonts w:ascii="仿宋" w:eastAsia="仿宋" w:hAnsi="仿宋" w:cs="仿宋" w:hint="eastAsia"/>
          <w:b/>
          <w:color w:val="000000"/>
          <w:kern w:val="0"/>
          <w:sz w:val="32"/>
          <w:szCs w:val="32"/>
        </w:rPr>
        <w:t>一般公共服务（类）政府办公厅（室）及相关机构事务（款）事业运行（项）</w:t>
      </w:r>
      <w:r>
        <w:rPr>
          <w:rFonts w:ascii="仿宋" w:eastAsia="仿宋" w:hAnsi="仿宋" w:hint="eastAsia"/>
          <w:b/>
          <w:color w:val="000000"/>
          <w:sz w:val="32"/>
          <w:szCs w:val="32"/>
        </w:rPr>
        <w:t>：反映事业单位的基本支出，不包括行政单位（包括实行公务员管理的事业单位）后勤服务中心、医务室等附属事业单位。</w:t>
      </w:r>
    </w:p>
    <w:p w:rsidR="00FD3477" w:rsidRDefault="00B3617E">
      <w:pPr>
        <w:ind w:firstLineChars="200" w:firstLine="643"/>
        <w:rPr>
          <w:rFonts w:ascii="仿宋" w:eastAsia="仿宋" w:hAnsi="仿宋"/>
          <w:b/>
          <w:color w:val="000000"/>
          <w:sz w:val="32"/>
          <w:szCs w:val="32"/>
        </w:rPr>
      </w:pPr>
      <w:r w:rsidRPr="005E1D6A">
        <w:rPr>
          <w:rFonts w:ascii="仿宋" w:eastAsia="仿宋" w:hAnsi="仿宋" w:hint="eastAsia"/>
          <w:b/>
          <w:color w:val="000000"/>
          <w:sz w:val="32"/>
          <w:szCs w:val="32"/>
          <w:u w:color="FFB03A"/>
        </w:rPr>
        <w:t>4</w:t>
      </w:r>
      <w:r w:rsidR="007626F7" w:rsidRPr="005E1D6A">
        <w:rPr>
          <w:rFonts w:ascii="仿宋" w:eastAsia="仿宋" w:hAnsi="仿宋"/>
          <w:b/>
          <w:color w:val="000000"/>
          <w:sz w:val="32"/>
          <w:szCs w:val="32"/>
          <w:u w:color="FFB03A"/>
        </w:rPr>
        <w:t>.</w:t>
      </w:r>
      <w:r>
        <w:rPr>
          <w:rFonts w:ascii="仿宋" w:eastAsia="仿宋" w:hAnsi="仿宋" w:cs="仿宋" w:hint="eastAsia"/>
          <w:b/>
          <w:color w:val="000000"/>
          <w:kern w:val="0"/>
          <w:sz w:val="32"/>
          <w:szCs w:val="32"/>
        </w:rPr>
        <w:t>社会保障和就业（类）人力资源和社会保障管理事务（款）引进人才费用（项）</w:t>
      </w:r>
      <w:r>
        <w:rPr>
          <w:rFonts w:ascii="仿宋" w:eastAsia="仿宋" w:hAnsi="仿宋" w:hint="eastAsia"/>
          <w:b/>
          <w:color w:val="000000"/>
          <w:sz w:val="32"/>
          <w:szCs w:val="32"/>
        </w:rPr>
        <w:t>：反映用于引进专家补助引智成果推广等方面的支出。</w:t>
      </w:r>
    </w:p>
    <w:p w:rsidR="00FD3477" w:rsidRDefault="00B3617E">
      <w:pPr>
        <w:ind w:firstLineChars="200" w:firstLine="643"/>
        <w:rPr>
          <w:rFonts w:ascii="仿宋" w:eastAsia="仿宋" w:hAnsi="仿宋" w:cs="仿宋"/>
          <w:b/>
          <w:color w:val="000000"/>
          <w:kern w:val="0"/>
          <w:sz w:val="32"/>
          <w:szCs w:val="32"/>
        </w:rPr>
      </w:pPr>
      <w:r>
        <w:rPr>
          <w:rFonts w:ascii="仿宋" w:eastAsia="仿宋" w:hAnsi="仿宋" w:hint="eastAsia"/>
          <w:b/>
          <w:color w:val="000000"/>
          <w:sz w:val="32"/>
          <w:szCs w:val="32"/>
        </w:rPr>
        <w:t>5</w:t>
      </w:r>
      <w:r w:rsidR="007626F7" w:rsidRPr="007626F7">
        <w:rPr>
          <w:rFonts w:ascii="仿宋" w:eastAsia="仿宋" w:hAnsi="仿宋"/>
          <w:b/>
          <w:color w:val="000000"/>
          <w:sz w:val="32"/>
          <w:szCs w:val="32"/>
          <w:u w:color="46CD7E"/>
        </w:rPr>
        <w:t>.</w:t>
      </w:r>
      <w:r>
        <w:rPr>
          <w:rStyle w:val="ab"/>
          <w:rFonts w:ascii="仿宋" w:eastAsia="仿宋" w:hAnsi="仿宋" w:hint="eastAsia"/>
          <w:bCs/>
          <w:color w:val="000000"/>
          <w:sz w:val="32"/>
          <w:szCs w:val="32"/>
        </w:rPr>
        <w:t xml:space="preserve"> </w:t>
      </w:r>
      <w:r>
        <w:rPr>
          <w:rFonts w:ascii="仿宋" w:eastAsia="仿宋" w:hAnsi="仿宋" w:cs="仿宋" w:hint="eastAsia"/>
          <w:b/>
          <w:color w:val="000000"/>
          <w:kern w:val="0"/>
          <w:sz w:val="32"/>
          <w:szCs w:val="32"/>
        </w:rPr>
        <w:t>社会保障和就业（类）行政事业单位养老支出（款）机关事业单位基本养老保险缴费支出（项）</w:t>
      </w:r>
      <w:r>
        <w:rPr>
          <w:rFonts w:ascii="仿宋" w:eastAsia="仿宋" w:hAnsi="仿宋" w:cs="仿宋"/>
          <w:b/>
          <w:color w:val="000000"/>
          <w:kern w:val="0"/>
          <w:sz w:val="32"/>
          <w:szCs w:val="32"/>
        </w:rPr>
        <w:t>:</w:t>
      </w:r>
      <w:r>
        <w:rPr>
          <w:rFonts w:ascii="仿宋" w:eastAsia="仿宋" w:hAnsi="仿宋" w:cs="仿宋" w:hint="eastAsia"/>
          <w:b/>
          <w:color w:val="000000"/>
          <w:kern w:val="0"/>
          <w:sz w:val="32"/>
          <w:szCs w:val="32"/>
        </w:rPr>
        <w:t>指机关事业单位实施养老保险制度由单位实施缴纳的基本养老保险支出。</w:t>
      </w:r>
    </w:p>
    <w:p w:rsidR="00FD3477" w:rsidRDefault="00B3617E">
      <w:pPr>
        <w:spacing w:line="600" w:lineRule="exact"/>
        <w:ind w:firstLineChars="200" w:firstLine="643"/>
        <w:rPr>
          <w:rStyle w:val="ab"/>
          <w:rFonts w:ascii="仿宋" w:eastAsia="仿宋" w:hAnsi="仿宋"/>
          <w:bCs/>
          <w:color w:val="000000"/>
          <w:sz w:val="32"/>
          <w:szCs w:val="32"/>
        </w:rPr>
      </w:pPr>
      <w:r w:rsidRPr="005E1D6A">
        <w:rPr>
          <w:rFonts w:ascii="仿宋" w:eastAsia="仿宋" w:hAnsi="仿宋" w:cs="仿宋" w:hint="eastAsia"/>
          <w:b/>
          <w:color w:val="000000"/>
          <w:kern w:val="0"/>
          <w:sz w:val="32"/>
          <w:szCs w:val="32"/>
          <w:u w:val="thick" w:color="FFB03A"/>
          <w:shd w:val="clear" w:color="auto" w:fill="FFEFD8"/>
        </w:rPr>
        <w:t>6</w:t>
      </w:r>
      <w:r w:rsidR="007626F7" w:rsidRPr="005E1D6A">
        <w:rPr>
          <w:rFonts w:ascii="仿宋" w:eastAsia="仿宋" w:hAnsi="仿宋" w:cs="仿宋"/>
          <w:b/>
          <w:color w:val="000000"/>
          <w:kern w:val="0"/>
          <w:sz w:val="32"/>
          <w:szCs w:val="32"/>
          <w:u w:val="thick" w:color="FFB03A"/>
          <w:shd w:val="clear" w:color="auto" w:fill="FFEFD8"/>
        </w:rPr>
        <w:t>.</w:t>
      </w:r>
      <w:r>
        <w:rPr>
          <w:rFonts w:ascii="仿宋" w:eastAsia="仿宋" w:hAnsi="仿宋" w:cs="仿宋" w:hint="eastAsia"/>
          <w:b/>
          <w:color w:val="000000"/>
          <w:kern w:val="0"/>
          <w:sz w:val="32"/>
          <w:szCs w:val="32"/>
        </w:rPr>
        <w:t>社会保障和就业（类）行政事业单位养老支出</w:t>
      </w:r>
      <w:r>
        <w:rPr>
          <w:rStyle w:val="ab"/>
          <w:rFonts w:ascii="仿宋" w:eastAsia="仿宋" w:hAnsi="仿宋" w:hint="eastAsia"/>
          <w:bCs/>
          <w:color w:val="000000"/>
          <w:sz w:val="32"/>
          <w:szCs w:val="32"/>
        </w:rPr>
        <w:t>（款）机关事业单位职业年金缴费支出（项）：反映机关事业单位实施养老保险制度由</w:t>
      </w:r>
      <w:r>
        <w:rPr>
          <w:rStyle w:val="ab"/>
          <w:rFonts w:ascii="仿宋" w:eastAsia="仿宋" w:hAnsi="仿宋" w:hint="eastAsia"/>
          <w:bCs/>
          <w:color w:val="000000"/>
          <w:sz w:val="32"/>
          <w:szCs w:val="32"/>
        </w:rPr>
        <w:t>单位实际缴纳的职业年金支出。</w:t>
      </w:r>
    </w:p>
    <w:p w:rsidR="00FD3477" w:rsidRDefault="00B3617E">
      <w:pPr>
        <w:ind w:firstLineChars="200" w:firstLine="643"/>
        <w:rPr>
          <w:rFonts w:ascii="仿宋" w:eastAsia="仿宋" w:hAnsi="仿宋" w:cs="仿宋"/>
          <w:b/>
          <w:color w:val="000000"/>
          <w:kern w:val="0"/>
          <w:sz w:val="32"/>
          <w:szCs w:val="32"/>
        </w:rPr>
      </w:pPr>
      <w:r>
        <w:rPr>
          <w:rFonts w:ascii="仿宋" w:eastAsia="仿宋" w:hAnsi="仿宋" w:cs="仿宋" w:hint="eastAsia"/>
          <w:b/>
          <w:color w:val="000000"/>
          <w:kern w:val="0"/>
          <w:sz w:val="32"/>
          <w:szCs w:val="32"/>
        </w:rPr>
        <w:t>7</w:t>
      </w:r>
      <w:r w:rsidR="007626F7" w:rsidRPr="007626F7">
        <w:rPr>
          <w:rFonts w:ascii="仿宋" w:eastAsia="仿宋" w:hAnsi="仿宋" w:cs="仿宋"/>
          <w:b/>
          <w:color w:val="000000"/>
          <w:kern w:val="0"/>
          <w:sz w:val="32"/>
          <w:szCs w:val="32"/>
          <w:u w:color="46CD7E"/>
        </w:rPr>
        <w:t>.</w:t>
      </w:r>
      <w:r>
        <w:rPr>
          <w:rFonts w:ascii="仿宋" w:eastAsia="仿宋" w:hAnsi="仿宋" w:cs="仿宋" w:hint="eastAsia"/>
          <w:b/>
          <w:color w:val="000000"/>
          <w:kern w:val="0"/>
          <w:sz w:val="32"/>
          <w:szCs w:val="32"/>
        </w:rPr>
        <w:t>卫生健康支出（类）行政事业单位医疗（款）事业单位医疗（项）：指事业单位基本医疗保险缴费，按国家规定享受离休人员医疗经费。</w:t>
      </w:r>
    </w:p>
    <w:p w:rsidR="00FD3477" w:rsidRDefault="00B3617E">
      <w:pPr>
        <w:ind w:firstLineChars="200" w:firstLine="643"/>
        <w:rPr>
          <w:rFonts w:ascii="仿宋" w:eastAsia="仿宋" w:hAnsi="仿宋" w:cs="仿宋"/>
          <w:b/>
          <w:color w:val="000000"/>
          <w:kern w:val="0"/>
          <w:sz w:val="32"/>
          <w:szCs w:val="32"/>
        </w:rPr>
      </w:pPr>
      <w:r>
        <w:rPr>
          <w:rFonts w:ascii="仿宋" w:eastAsia="仿宋" w:hAnsi="仿宋" w:cs="仿宋" w:hint="eastAsia"/>
          <w:b/>
          <w:color w:val="000000"/>
          <w:kern w:val="0"/>
          <w:sz w:val="32"/>
          <w:szCs w:val="32"/>
        </w:rPr>
        <w:lastRenderedPageBreak/>
        <w:t>8</w:t>
      </w:r>
      <w:r w:rsidR="007626F7" w:rsidRPr="007626F7">
        <w:rPr>
          <w:rFonts w:ascii="仿宋" w:eastAsia="仿宋" w:hAnsi="仿宋" w:cs="仿宋"/>
          <w:b/>
          <w:color w:val="000000"/>
          <w:kern w:val="0"/>
          <w:sz w:val="32"/>
          <w:szCs w:val="32"/>
          <w:u w:color="46CD7E"/>
        </w:rPr>
        <w:t>.</w:t>
      </w:r>
      <w:r>
        <w:rPr>
          <w:rFonts w:ascii="仿宋" w:eastAsia="仿宋" w:hAnsi="仿宋" w:cs="仿宋" w:hint="eastAsia"/>
          <w:b/>
          <w:color w:val="000000"/>
          <w:kern w:val="0"/>
          <w:sz w:val="32"/>
          <w:szCs w:val="32"/>
        </w:rPr>
        <w:t>农林水支出（类）</w:t>
      </w:r>
      <w:r>
        <w:rPr>
          <w:rStyle w:val="ab"/>
          <w:rFonts w:ascii="仿宋" w:eastAsia="仿宋" w:hAnsi="仿宋" w:hint="eastAsia"/>
          <w:bCs/>
          <w:color w:val="000000"/>
          <w:sz w:val="32"/>
          <w:szCs w:val="32"/>
        </w:rPr>
        <w:t>农业农村（款）</w:t>
      </w:r>
      <w:r>
        <w:rPr>
          <w:rFonts w:ascii="仿宋" w:eastAsia="仿宋" w:hAnsi="仿宋" w:cs="仿宋" w:hint="eastAsia"/>
          <w:b/>
          <w:color w:val="000000"/>
          <w:kern w:val="0"/>
          <w:sz w:val="32"/>
          <w:szCs w:val="32"/>
        </w:rPr>
        <w:t>事业运行（项）：指农业事业单位基本支出，事业单位设施、系统运行与资产维护等方面的支出。</w:t>
      </w:r>
    </w:p>
    <w:p w:rsidR="00FD3477" w:rsidRDefault="00B3617E">
      <w:pPr>
        <w:ind w:firstLineChars="200" w:firstLine="643"/>
        <w:rPr>
          <w:rFonts w:ascii="仿宋" w:eastAsia="仿宋" w:hAnsi="仿宋" w:cs="仿宋"/>
          <w:b/>
          <w:color w:val="000000"/>
          <w:kern w:val="0"/>
          <w:sz w:val="32"/>
          <w:szCs w:val="32"/>
        </w:rPr>
      </w:pPr>
      <w:r>
        <w:rPr>
          <w:rFonts w:ascii="仿宋" w:eastAsia="仿宋" w:hAnsi="仿宋" w:cs="仿宋" w:hint="eastAsia"/>
          <w:b/>
          <w:color w:val="000000"/>
          <w:kern w:val="0"/>
          <w:sz w:val="32"/>
          <w:szCs w:val="32"/>
        </w:rPr>
        <w:t>9</w:t>
      </w:r>
      <w:r w:rsidR="007626F7" w:rsidRPr="007626F7">
        <w:rPr>
          <w:rFonts w:ascii="仿宋" w:eastAsia="仿宋" w:hAnsi="仿宋" w:cs="仿宋"/>
          <w:b/>
          <w:color w:val="000000"/>
          <w:kern w:val="0"/>
          <w:sz w:val="32"/>
          <w:szCs w:val="32"/>
          <w:u w:color="46CD7E"/>
        </w:rPr>
        <w:t>.</w:t>
      </w:r>
      <w:r>
        <w:rPr>
          <w:rFonts w:ascii="仿宋" w:eastAsia="仿宋" w:hAnsi="仿宋" w:cs="仿宋" w:hint="eastAsia"/>
          <w:b/>
          <w:color w:val="000000"/>
          <w:kern w:val="0"/>
          <w:sz w:val="32"/>
          <w:szCs w:val="32"/>
        </w:rPr>
        <w:t>农林水支出（类）</w:t>
      </w:r>
      <w:r>
        <w:rPr>
          <w:rStyle w:val="ab"/>
          <w:rFonts w:ascii="仿宋" w:eastAsia="仿宋" w:hAnsi="仿宋" w:hint="eastAsia"/>
          <w:bCs/>
          <w:color w:val="000000"/>
          <w:sz w:val="32"/>
          <w:szCs w:val="32"/>
        </w:rPr>
        <w:t>农业农村（款）</w:t>
      </w:r>
      <w:r>
        <w:rPr>
          <w:rFonts w:ascii="仿宋" w:eastAsia="仿宋" w:hAnsi="仿宋" w:cs="仿宋" w:hint="eastAsia"/>
          <w:b/>
          <w:color w:val="000000"/>
          <w:kern w:val="0"/>
          <w:sz w:val="32"/>
          <w:szCs w:val="32"/>
        </w:rPr>
        <w:t>农业生产发展（项）：指用于耕地地力保护、适度规模经营、农机购置补贴、优势特色主导产业发展、畜牧水产发展、农村一二三产业融合等方面支出。</w:t>
      </w:r>
    </w:p>
    <w:p w:rsidR="00FD3477" w:rsidRDefault="00B3617E">
      <w:pPr>
        <w:ind w:firstLineChars="200" w:firstLine="643"/>
        <w:rPr>
          <w:rFonts w:ascii="仿宋" w:eastAsia="仿宋" w:hAnsi="仿宋" w:cs="仿宋"/>
          <w:b/>
          <w:color w:val="000000"/>
          <w:kern w:val="0"/>
          <w:sz w:val="32"/>
          <w:szCs w:val="32"/>
        </w:rPr>
      </w:pPr>
      <w:r>
        <w:rPr>
          <w:rFonts w:ascii="仿宋" w:eastAsia="仿宋" w:hAnsi="仿宋" w:cs="仿宋" w:hint="eastAsia"/>
          <w:b/>
          <w:color w:val="000000"/>
          <w:kern w:val="0"/>
          <w:sz w:val="32"/>
          <w:szCs w:val="32"/>
        </w:rPr>
        <w:t>10</w:t>
      </w:r>
      <w:r w:rsidR="007626F7" w:rsidRPr="007626F7">
        <w:rPr>
          <w:rFonts w:ascii="仿宋" w:eastAsia="仿宋" w:hAnsi="仿宋" w:cs="仿宋"/>
          <w:b/>
          <w:color w:val="000000"/>
          <w:kern w:val="0"/>
          <w:sz w:val="32"/>
          <w:szCs w:val="32"/>
          <w:u w:color="46CD7E"/>
        </w:rPr>
        <w:t>.</w:t>
      </w:r>
      <w:r>
        <w:rPr>
          <w:rFonts w:ascii="仿宋" w:eastAsia="仿宋" w:hAnsi="仿宋" w:cs="仿宋" w:hint="eastAsia"/>
          <w:b/>
          <w:color w:val="000000"/>
          <w:kern w:val="0"/>
          <w:sz w:val="32"/>
          <w:szCs w:val="32"/>
        </w:rPr>
        <w:t>农林水支出（类）</w:t>
      </w:r>
      <w:r>
        <w:rPr>
          <w:rStyle w:val="ab"/>
          <w:rFonts w:ascii="仿宋" w:eastAsia="仿宋" w:hAnsi="仿宋" w:hint="eastAsia"/>
          <w:bCs/>
          <w:color w:val="000000"/>
          <w:sz w:val="32"/>
          <w:szCs w:val="32"/>
        </w:rPr>
        <w:t>农业农村（款）</w:t>
      </w:r>
      <w:r>
        <w:rPr>
          <w:rFonts w:ascii="仿宋" w:eastAsia="仿宋" w:hAnsi="仿宋" w:cs="仿宋" w:hint="eastAsia"/>
          <w:b/>
          <w:color w:val="000000"/>
          <w:kern w:val="0"/>
          <w:sz w:val="32"/>
          <w:szCs w:val="32"/>
        </w:rPr>
        <w:t>其他农业农村支出（项）：指除上述项目以外其他用于农业方面的支出。</w:t>
      </w:r>
    </w:p>
    <w:p w:rsidR="00FD3477" w:rsidRDefault="00B3617E">
      <w:pPr>
        <w:ind w:firstLineChars="200" w:firstLine="643"/>
        <w:rPr>
          <w:rFonts w:ascii="仿宋" w:eastAsia="仿宋" w:hAnsi="仿宋" w:cs="仿宋"/>
          <w:b/>
          <w:color w:val="000000"/>
          <w:kern w:val="0"/>
          <w:sz w:val="32"/>
          <w:szCs w:val="32"/>
        </w:rPr>
      </w:pPr>
      <w:r>
        <w:rPr>
          <w:rFonts w:ascii="仿宋" w:eastAsia="仿宋" w:hAnsi="仿宋" w:cs="仿宋" w:hint="eastAsia"/>
          <w:b/>
          <w:color w:val="000000"/>
          <w:kern w:val="0"/>
          <w:sz w:val="32"/>
          <w:szCs w:val="32"/>
        </w:rPr>
        <w:t>11</w:t>
      </w:r>
      <w:r w:rsidR="007626F7" w:rsidRPr="007626F7">
        <w:rPr>
          <w:rFonts w:ascii="仿宋" w:eastAsia="仿宋" w:hAnsi="仿宋" w:cs="仿宋"/>
          <w:b/>
          <w:color w:val="000000"/>
          <w:kern w:val="0"/>
          <w:sz w:val="32"/>
          <w:szCs w:val="32"/>
          <w:u w:color="46CD7E"/>
        </w:rPr>
        <w:t>.</w:t>
      </w:r>
      <w:r>
        <w:rPr>
          <w:rFonts w:ascii="仿宋" w:eastAsia="仿宋" w:hAnsi="仿宋" w:cs="仿宋" w:hint="eastAsia"/>
          <w:b/>
          <w:color w:val="000000"/>
          <w:kern w:val="0"/>
          <w:sz w:val="32"/>
          <w:szCs w:val="32"/>
        </w:rPr>
        <w:t>农林水支出（类）扶贫（款）其他扶贫支出（项）：指用于除上述项目以外其他用于扶贫方面的支出。</w:t>
      </w:r>
    </w:p>
    <w:p w:rsidR="00FD3477" w:rsidRDefault="00B3617E">
      <w:pPr>
        <w:ind w:firstLineChars="200" w:firstLine="643"/>
        <w:rPr>
          <w:rFonts w:ascii="仿宋" w:eastAsia="仿宋" w:hAnsi="仿宋" w:cs="仿宋"/>
          <w:b/>
          <w:color w:val="000000"/>
          <w:kern w:val="0"/>
          <w:sz w:val="32"/>
          <w:szCs w:val="32"/>
        </w:rPr>
      </w:pPr>
      <w:r>
        <w:rPr>
          <w:rFonts w:ascii="仿宋" w:eastAsia="仿宋" w:hAnsi="仿宋" w:cs="仿宋" w:hint="eastAsia"/>
          <w:b/>
          <w:color w:val="000000"/>
          <w:kern w:val="0"/>
          <w:sz w:val="32"/>
          <w:szCs w:val="32"/>
        </w:rPr>
        <w:t>12</w:t>
      </w:r>
      <w:r w:rsidR="007626F7" w:rsidRPr="007626F7">
        <w:rPr>
          <w:rFonts w:ascii="仿宋" w:eastAsia="仿宋" w:hAnsi="仿宋" w:cs="仿宋"/>
          <w:b/>
          <w:color w:val="000000"/>
          <w:kern w:val="0"/>
          <w:sz w:val="32"/>
          <w:szCs w:val="32"/>
          <w:u w:color="46CD7E"/>
        </w:rPr>
        <w:t>.</w:t>
      </w:r>
      <w:r>
        <w:rPr>
          <w:rFonts w:ascii="仿宋" w:eastAsia="仿宋" w:hAnsi="仿宋" w:cs="仿宋" w:hint="eastAsia"/>
          <w:b/>
          <w:color w:val="000000"/>
          <w:kern w:val="0"/>
          <w:sz w:val="32"/>
          <w:szCs w:val="32"/>
        </w:rPr>
        <w:t>住房保障支出（类）住房改革支出（款）住房公积金（项）：指行政事业单位按人力资源和社会保障部、财政部规定的基本工资和津贴补贴以及规定比例为职工缴纳的住房公积金。</w:t>
      </w:r>
    </w:p>
    <w:p w:rsidR="00FD3477" w:rsidRDefault="00B3617E">
      <w:pPr>
        <w:ind w:firstLineChars="200" w:firstLine="643"/>
        <w:rPr>
          <w:rFonts w:ascii="仿宋" w:eastAsia="仿宋" w:hAnsi="仿宋"/>
          <w:b/>
          <w:color w:val="000000"/>
          <w:sz w:val="32"/>
          <w:szCs w:val="32"/>
        </w:rPr>
      </w:pPr>
      <w:r>
        <w:rPr>
          <w:rFonts w:ascii="仿宋" w:eastAsia="仿宋" w:hAnsi="仿宋" w:hint="eastAsia"/>
          <w:b/>
          <w:color w:val="000000"/>
          <w:sz w:val="32"/>
          <w:szCs w:val="32"/>
        </w:rPr>
        <w:t>13</w:t>
      </w:r>
      <w:r w:rsidR="007626F7" w:rsidRPr="007626F7">
        <w:rPr>
          <w:rFonts w:ascii="仿宋" w:eastAsia="仿宋" w:hAnsi="仿宋"/>
          <w:b/>
          <w:color w:val="000000"/>
          <w:sz w:val="32"/>
          <w:szCs w:val="32"/>
          <w:u w:color="46CD7E"/>
        </w:rPr>
        <w:t>.</w:t>
      </w:r>
      <w:r>
        <w:rPr>
          <w:rFonts w:ascii="仿宋" w:eastAsia="仿宋" w:hAnsi="仿宋" w:hint="eastAsia"/>
          <w:b/>
          <w:color w:val="000000"/>
          <w:sz w:val="32"/>
          <w:szCs w:val="32"/>
        </w:rPr>
        <w:t>基本支出：指为保障机构正常运转、完成日常工作任务而发生的人员支出和公用支出。</w:t>
      </w:r>
    </w:p>
    <w:p w:rsidR="00FD3477" w:rsidRDefault="00B3617E">
      <w:pPr>
        <w:ind w:firstLineChars="200" w:firstLine="643"/>
        <w:rPr>
          <w:rFonts w:ascii="仿宋" w:eastAsia="仿宋" w:hAnsi="仿宋"/>
          <w:b/>
          <w:color w:val="000000"/>
          <w:sz w:val="32"/>
          <w:szCs w:val="32"/>
        </w:rPr>
      </w:pPr>
      <w:r>
        <w:rPr>
          <w:rFonts w:ascii="仿宋" w:eastAsia="仿宋" w:hAnsi="仿宋" w:hint="eastAsia"/>
          <w:b/>
          <w:color w:val="000000"/>
          <w:sz w:val="32"/>
          <w:szCs w:val="32"/>
        </w:rPr>
        <w:t>14</w:t>
      </w:r>
      <w:r w:rsidR="007626F7" w:rsidRPr="007626F7">
        <w:rPr>
          <w:rFonts w:ascii="仿宋" w:eastAsia="仿宋" w:hAnsi="仿宋"/>
          <w:b/>
          <w:color w:val="000000"/>
          <w:sz w:val="32"/>
          <w:szCs w:val="32"/>
          <w:u w:color="46CD7E"/>
        </w:rPr>
        <w:t>.</w:t>
      </w:r>
      <w:r>
        <w:rPr>
          <w:rFonts w:ascii="仿宋" w:eastAsia="仿宋" w:hAnsi="仿宋" w:hint="eastAsia"/>
          <w:b/>
          <w:color w:val="000000"/>
          <w:sz w:val="32"/>
          <w:szCs w:val="32"/>
        </w:rPr>
        <w:t>项目支出：指在基本支出之外为完成特定行政任务和</w:t>
      </w:r>
      <w:r w:rsidRPr="005E1D6A">
        <w:rPr>
          <w:rFonts w:ascii="仿宋" w:eastAsia="仿宋" w:hAnsi="仿宋" w:hint="eastAsia"/>
          <w:b/>
          <w:color w:val="000000"/>
          <w:sz w:val="32"/>
          <w:szCs w:val="32"/>
          <w:u w:val="thick" w:color="FFB03A"/>
          <w:shd w:val="clear" w:color="auto" w:fill="FFEFD8"/>
        </w:rPr>
        <w:t>事业</w:t>
      </w:r>
      <w:r>
        <w:rPr>
          <w:rFonts w:ascii="仿宋" w:eastAsia="仿宋" w:hAnsi="仿宋" w:hint="eastAsia"/>
          <w:b/>
          <w:color w:val="000000"/>
          <w:sz w:val="32"/>
          <w:szCs w:val="32"/>
        </w:rPr>
        <w:t>发展目标所发生的支出。</w:t>
      </w:r>
      <w:r>
        <w:rPr>
          <w:rFonts w:ascii="仿宋" w:eastAsia="仿宋" w:hAnsi="仿宋"/>
          <w:b/>
          <w:color w:val="000000"/>
          <w:sz w:val="32"/>
          <w:szCs w:val="32"/>
        </w:rPr>
        <w:t xml:space="preserve"> </w:t>
      </w:r>
    </w:p>
    <w:p w:rsidR="00FD3477" w:rsidRDefault="00B3617E">
      <w:pPr>
        <w:pStyle w:val="Default"/>
        <w:spacing w:line="560" w:lineRule="exact"/>
        <w:ind w:firstLineChars="200" w:firstLine="643"/>
        <w:rPr>
          <w:rFonts w:hAnsi="仿宋"/>
          <w:b/>
          <w:sz w:val="32"/>
          <w:szCs w:val="32"/>
        </w:rPr>
      </w:pPr>
      <w:r>
        <w:rPr>
          <w:rFonts w:hAnsi="仿宋" w:hint="eastAsia"/>
          <w:b/>
          <w:sz w:val="32"/>
          <w:szCs w:val="32"/>
        </w:rPr>
        <w:t>15</w:t>
      </w:r>
      <w:r w:rsidR="007626F7" w:rsidRPr="007626F7">
        <w:rPr>
          <w:rFonts w:hAnsi="仿宋"/>
          <w:b/>
          <w:sz w:val="32"/>
          <w:szCs w:val="32"/>
          <w:u w:color="46CD7E"/>
        </w:rPr>
        <w:t>.</w:t>
      </w:r>
      <w:r>
        <w:rPr>
          <w:rFonts w:hAnsi="仿宋" w:hint="eastAsia"/>
          <w:b/>
          <w:sz w:val="32"/>
          <w:szCs w:val="32"/>
        </w:rPr>
        <w:t>“三公”经费：指部门用财政拨款安排的因公出国（境）费、公务用车购置及运行费和公务接待费。其中，因公出国（境）</w:t>
      </w:r>
      <w:proofErr w:type="gramStart"/>
      <w:r>
        <w:rPr>
          <w:rFonts w:hAnsi="仿宋" w:hint="eastAsia"/>
          <w:b/>
          <w:sz w:val="32"/>
          <w:szCs w:val="32"/>
        </w:rPr>
        <w:t>费反映</w:t>
      </w:r>
      <w:proofErr w:type="gramEnd"/>
      <w:r>
        <w:rPr>
          <w:rFonts w:hAnsi="仿宋" w:hint="eastAsia"/>
          <w:b/>
          <w:sz w:val="32"/>
          <w:szCs w:val="32"/>
        </w:rPr>
        <w:t>单位公务出国（境）的国际旅费、国外</w:t>
      </w:r>
      <w:r>
        <w:rPr>
          <w:rFonts w:hAnsi="仿宋" w:hint="eastAsia"/>
          <w:b/>
          <w:sz w:val="32"/>
          <w:szCs w:val="32"/>
        </w:rPr>
        <w:lastRenderedPageBreak/>
        <w:t>城市间交通费、住宿费、伙食费、培训费、公杂费等支出；公务用车购置及运行</w:t>
      </w:r>
      <w:proofErr w:type="gramStart"/>
      <w:r>
        <w:rPr>
          <w:rFonts w:hAnsi="仿宋" w:hint="eastAsia"/>
          <w:b/>
          <w:sz w:val="32"/>
          <w:szCs w:val="32"/>
        </w:rPr>
        <w:t>费反映</w:t>
      </w:r>
      <w:proofErr w:type="gramEnd"/>
      <w:r>
        <w:rPr>
          <w:rFonts w:hAnsi="仿宋" w:hint="eastAsia"/>
          <w:b/>
          <w:sz w:val="32"/>
          <w:szCs w:val="32"/>
        </w:rPr>
        <w:t>单位公务用车车辆购置支出（</w:t>
      </w:r>
      <w:proofErr w:type="gramStart"/>
      <w:r>
        <w:rPr>
          <w:rFonts w:hAnsi="仿宋" w:hint="eastAsia"/>
          <w:b/>
          <w:sz w:val="32"/>
          <w:szCs w:val="32"/>
        </w:rPr>
        <w:t>含车</w:t>
      </w:r>
      <w:proofErr w:type="gramEnd"/>
      <w:r>
        <w:rPr>
          <w:rFonts w:hAnsi="仿宋" w:hint="eastAsia"/>
          <w:b/>
          <w:sz w:val="32"/>
          <w:szCs w:val="32"/>
        </w:rPr>
        <w:t>辆购置税）及租用费、燃料费、维修费、过路过桥费、保险费等支出；公务接待</w:t>
      </w:r>
      <w:proofErr w:type="gramStart"/>
      <w:r>
        <w:rPr>
          <w:rFonts w:hAnsi="仿宋" w:hint="eastAsia"/>
          <w:b/>
          <w:sz w:val="32"/>
          <w:szCs w:val="32"/>
        </w:rPr>
        <w:t>费反映</w:t>
      </w:r>
      <w:proofErr w:type="gramEnd"/>
      <w:r>
        <w:rPr>
          <w:rFonts w:hAnsi="仿宋" w:hint="eastAsia"/>
          <w:b/>
          <w:sz w:val="32"/>
          <w:szCs w:val="32"/>
        </w:rPr>
        <w:t>单位按规定开支的各类公务接待（含外宾接待）支出。</w:t>
      </w:r>
    </w:p>
    <w:p w:rsidR="00FD3477" w:rsidRDefault="00B3617E">
      <w:pPr>
        <w:pStyle w:val="Default"/>
        <w:spacing w:line="560" w:lineRule="exact"/>
        <w:ind w:firstLineChars="200" w:firstLine="643"/>
        <w:rPr>
          <w:rFonts w:hAnsi="仿宋"/>
          <w:b/>
          <w:sz w:val="32"/>
          <w:szCs w:val="32"/>
        </w:rPr>
      </w:pPr>
      <w:r>
        <w:rPr>
          <w:rFonts w:hAnsi="仿宋" w:hint="eastAsia"/>
          <w:b/>
          <w:sz w:val="32"/>
          <w:szCs w:val="32"/>
        </w:rPr>
        <w:t>16</w:t>
      </w:r>
      <w:r w:rsidR="007626F7" w:rsidRPr="007626F7">
        <w:rPr>
          <w:rFonts w:hAnsi="仿宋"/>
          <w:b/>
          <w:sz w:val="32"/>
          <w:szCs w:val="32"/>
          <w:u w:color="46CD7E"/>
        </w:rPr>
        <w:t>.</w:t>
      </w:r>
      <w:r>
        <w:rPr>
          <w:rFonts w:hAnsi="仿宋" w:hint="eastAsia"/>
          <w:b/>
          <w:sz w:val="32"/>
          <w:szCs w:val="32"/>
        </w:rPr>
        <w:t>机关运行经费：为保障行政单位（含参照公务员法管理的事业单位）运行用于购买货物和服务的各项资金，包括办公及印刷费、邮电费、</w:t>
      </w:r>
      <w:r>
        <w:rPr>
          <w:rFonts w:hAnsi="仿宋" w:hint="eastAsia"/>
          <w:b/>
          <w:sz w:val="32"/>
          <w:szCs w:val="32"/>
        </w:rPr>
        <w:t>差旅费、会议费、福利费、日常维修费、专用材料及一般设备购置费、办公用房水电费、办公用房取暖费、办公用房物业管理费、公务用车运行维护费以及其他费用。</w:t>
      </w:r>
    </w:p>
    <w:p w:rsidR="00FD3477" w:rsidRDefault="00FD3477">
      <w:pPr>
        <w:pStyle w:val="Default"/>
        <w:spacing w:line="560" w:lineRule="exact"/>
        <w:ind w:firstLineChars="200" w:firstLine="643"/>
        <w:rPr>
          <w:rFonts w:hAnsi="仿宋"/>
          <w:b/>
          <w:sz w:val="32"/>
          <w:szCs w:val="32"/>
        </w:rPr>
      </w:pPr>
    </w:p>
    <w:p w:rsidR="00FD3477" w:rsidRDefault="00FD3477">
      <w:pPr>
        <w:pStyle w:val="Default"/>
        <w:spacing w:line="560" w:lineRule="exact"/>
        <w:ind w:firstLineChars="200" w:firstLine="643"/>
        <w:rPr>
          <w:rFonts w:hAnsi="仿宋"/>
          <w:b/>
          <w:sz w:val="32"/>
          <w:szCs w:val="32"/>
        </w:rPr>
      </w:pPr>
    </w:p>
    <w:p w:rsidR="00FD3477" w:rsidRDefault="00FD3477">
      <w:pPr>
        <w:pStyle w:val="Default"/>
        <w:spacing w:line="560" w:lineRule="exact"/>
        <w:ind w:firstLineChars="200" w:firstLine="643"/>
        <w:rPr>
          <w:rFonts w:hAnsi="仿宋"/>
          <w:b/>
          <w:sz w:val="32"/>
          <w:szCs w:val="32"/>
        </w:rPr>
      </w:pPr>
    </w:p>
    <w:p w:rsidR="00FD3477" w:rsidRDefault="00FD3477">
      <w:pPr>
        <w:pStyle w:val="Default"/>
        <w:spacing w:line="560" w:lineRule="exact"/>
        <w:ind w:firstLineChars="200" w:firstLine="643"/>
        <w:rPr>
          <w:rFonts w:hAnsi="仿宋"/>
          <w:b/>
          <w:sz w:val="32"/>
          <w:szCs w:val="32"/>
        </w:rPr>
      </w:pPr>
    </w:p>
    <w:p w:rsidR="00FD3477" w:rsidRDefault="00FD3477">
      <w:pPr>
        <w:pStyle w:val="Default"/>
        <w:spacing w:line="560" w:lineRule="exact"/>
        <w:ind w:firstLineChars="200" w:firstLine="643"/>
        <w:rPr>
          <w:rFonts w:hAnsi="仿宋"/>
          <w:b/>
          <w:sz w:val="32"/>
          <w:szCs w:val="32"/>
        </w:rPr>
      </w:pPr>
    </w:p>
    <w:p w:rsidR="00FD3477" w:rsidRDefault="00FD3477">
      <w:pPr>
        <w:pStyle w:val="Default"/>
        <w:spacing w:line="560" w:lineRule="exact"/>
        <w:ind w:firstLineChars="200" w:firstLine="643"/>
        <w:rPr>
          <w:rFonts w:hAnsi="仿宋"/>
          <w:b/>
          <w:sz w:val="32"/>
          <w:szCs w:val="32"/>
        </w:rPr>
      </w:pPr>
    </w:p>
    <w:p w:rsidR="00FD3477" w:rsidRDefault="00FD3477">
      <w:pPr>
        <w:pStyle w:val="Default"/>
        <w:spacing w:line="560" w:lineRule="exact"/>
        <w:ind w:firstLineChars="200" w:firstLine="643"/>
        <w:rPr>
          <w:rFonts w:hAnsi="仿宋"/>
          <w:b/>
          <w:sz w:val="32"/>
          <w:szCs w:val="32"/>
        </w:rPr>
      </w:pPr>
    </w:p>
    <w:p w:rsidR="00FD3477" w:rsidRDefault="00FD3477">
      <w:pPr>
        <w:pStyle w:val="Default"/>
        <w:spacing w:line="560" w:lineRule="exact"/>
        <w:ind w:firstLineChars="200" w:firstLine="643"/>
        <w:rPr>
          <w:rFonts w:hAnsi="仿宋"/>
          <w:b/>
          <w:sz w:val="32"/>
          <w:szCs w:val="32"/>
        </w:rPr>
      </w:pPr>
    </w:p>
    <w:p w:rsidR="00FD3477" w:rsidRDefault="00FD3477">
      <w:pPr>
        <w:pStyle w:val="Default"/>
        <w:spacing w:line="560" w:lineRule="exact"/>
        <w:ind w:firstLineChars="200" w:firstLine="643"/>
        <w:rPr>
          <w:rFonts w:hAnsi="仿宋"/>
          <w:b/>
          <w:sz w:val="32"/>
          <w:szCs w:val="32"/>
        </w:rPr>
      </w:pPr>
    </w:p>
    <w:p w:rsidR="00FD3477" w:rsidRDefault="00FD3477">
      <w:pPr>
        <w:pStyle w:val="Default"/>
        <w:spacing w:line="560" w:lineRule="exact"/>
        <w:ind w:firstLineChars="200" w:firstLine="643"/>
        <w:rPr>
          <w:rFonts w:hAnsi="仿宋"/>
          <w:b/>
          <w:sz w:val="32"/>
          <w:szCs w:val="32"/>
        </w:rPr>
      </w:pPr>
    </w:p>
    <w:p w:rsidR="00FD3477" w:rsidRDefault="00FD3477">
      <w:pPr>
        <w:pStyle w:val="Default"/>
        <w:spacing w:line="560" w:lineRule="exact"/>
        <w:ind w:firstLineChars="200" w:firstLine="643"/>
        <w:rPr>
          <w:rFonts w:hAnsi="仿宋"/>
          <w:b/>
          <w:sz w:val="32"/>
          <w:szCs w:val="32"/>
        </w:rPr>
      </w:pPr>
    </w:p>
    <w:p w:rsidR="00FD3477" w:rsidRDefault="00FD3477">
      <w:pPr>
        <w:pStyle w:val="Default"/>
        <w:spacing w:line="560" w:lineRule="exact"/>
        <w:ind w:firstLineChars="200" w:firstLine="643"/>
        <w:rPr>
          <w:rFonts w:hAnsi="仿宋"/>
          <w:b/>
          <w:sz w:val="32"/>
          <w:szCs w:val="32"/>
        </w:rPr>
      </w:pPr>
    </w:p>
    <w:p w:rsidR="00FD3477" w:rsidRDefault="00FD3477">
      <w:pPr>
        <w:pStyle w:val="Default"/>
        <w:spacing w:line="560" w:lineRule="exact"/>
        <w:ind w:firstLineChars="200" w:firstLine="643"/>
        <w:rPr>
          <w:rFonts w:hAnsi="仿宋"/>
          <w:b/>
          <w:sz w:val="32"/>
          <w:szCs w:val="32"/>
        </w:rPr>
      </w:pPr>
    </w:p>
    <w:p w:rsidR="00FD3477" w:rsidRDefault="00B3617E">
      <w:pPr>
        <w:pStyle w:val="Default"/>
        <w:spacing w:line="560" w:lineRule="exact"/>
        <w:ind w:firstLineChars="200" w:firstLine="880"/>
        <w:jc w:val="center"/>
        <w:outlineLvl w:val="0"/>
        <w:rPr>
          <w:rStyle w:val="10"/>
          <w:rFonts w:ascii="黑体" w:eastAsia="黑体" w:hAnsi="黑体"/>
          <w:b w:val="0"/>
          <w:color w:val="auto"/>
        </w:rPr>
      </w:pPr>
      <w:bookmarkStart w:id="69" w:name="_Toc15396614"/>
      <w:bookmarkStart w:id="70" w:name="_Toc30952"/>
      <w:r>
        <w:rPr>
          <w:rFonts w:ascii="黑体" w:eastAsia="黑体" w:hAnsi="黑体" w:hint="eastAsia"/>
          <w:color w:val="auto"/>
          <w:sz w:val="44"/>
          <w:szCs w:val="44"/>
        </w:rPr>
        <w:lastRenderedPageBreak/>
        <w:t>第</w:t>
      </w:r>
      <w:r>
        <w:rPr>
          <w:rStyle w:val="10"/>
          <w:rFonts w:ascii="黑体" w:eastAsia="黑体" w:hAnsi="黑体" w:hint="eastAsia"/>
          <w:b w:val="0"/>
          <w:color w:val="auto"/>
        </w:rPr>
        <w:t>四部分</w:t>
      </w:r>
      <w:r>
        <w:rPr>
          <w:rStyle w:val="10"/>
          <w:rFonts w:ascii="黑体" w:eastAsia="黑体" w:hAnsi="黑体" w:hint="eastAsia"/>
          <w:b w:val="0"/>
          <w:color w:val="auto"/>
        </w:rPr>
        <w:t xml:space="preserve"> </w:t>
      </w:r>
      <w:r>
        <w:rPr>
          <w:rStyle w:val="10"/>
          <w:rFonts w:ascii="黑体" w:eastAsia="黑体" w:hAnsi="黑体" w:hint="eastAsia"/>
          <w:b w:val="0"/>
          <w:color w:val="auto"/>
        </w:rPr>
        <w:t>附件</w:t>
      </w:r>
      <w:bookmarkEnd w:id="69"/>
      <w:bookmarkEnd w:id="70"/>
    </w:p>
    <w:p w:rsidR="00FD3477" w:rsidRDefault="00B3617E">
      <w:pPr>
        <w:pStyle w:val="Default"/>
        <w:spacing w:line="560" w:lineRule="exact"/>
        <w:jc w:val="both"/>
        <w:outlineLvl w:val="1"/>
        <w:rPr>
          <w:rStyle w:val="10"/>
          <w:rFonts w:ascii="黑体" w:eastAsia="黑体" w:hAnsi="黑体"/>
          <w:color w:val="auto"/>
        </w:rPr>
      </w:pPr>
      <w:bookmarkStart w:id="71" w:name="_Toc8467"/>
      <w:r>
        <w:rPr>
          <w:rFonts w:ascii="黑体" w:eastAsia="黑体" w:hAnsi="黑体" w:cs="黑体" w:hint="eastAsia"/>
          <w:color w:val="auto"/>
          <w:sz w:val="44"/>
          <w:szCs w:val="44"/>
        </w:rPr>
        <w:t>附件</w:t>
      </w:r>
      <w:bookmarkEnd w:id="71"/>
    </w:p>
    <w:p w:rsidR="00FD3477" w:rsidRDefault="00B3617E">
      <w:pPr>
        <w:spacing w:line="572" w:lineRule="exact"/>
        <w:jc w:val="center"/>
        <w:outlineLvl w:val="1"/>
        <w:rPr>
          <w:rFonts w:ascii="黑体" w:eastAsia="黑体" w:hAnsi="黑体"/>
          <w:b/>
          <w:kern w:val="0"/>
          <w:sz w:val="44"/>
          <w:szCs w:val="44"/>
        </w:rPr>
      </w:pPr>
      <w:bookmarkStart w:id="72" w:name="_Toc29804"/>
      <w:r>
        <w:rPr>
          <w:rFonts w:ascii="黑体" w:eastAsia="黑体" w:hAnsi="黑体" w:hint="eastAsia"/>
          <w:b/>
          <w:kern w:val="0"/>
          <w:sz w:val="44"/>
          <w:szCs w:val="44"/>
        </w:rPr>
        <w:t>2021</w:t>
      </w:r>
      <w:r>
        <w:rPr>
          <w:rFonts w:ascii="黑体" w:eastAsia="黑体" w:hAnsi="黑体" w:hint="eastAsia"/>
          <w:b/>
          <w:kern w:val="0"/>
          <w:sz w:val="44"/>
          <w:szCs w:val="44"/>
        </w:rPr>
        <w:t>年通江县种子管理站</w:t>
      </w:r>
      <w:bookmarkEnd w:id="72"/>
    </w:p>
    <w:p w:rsidR="00FD3477" w:rsidRDefault="00B3617E">
      <w:pPr>
        <w:spacing w:line="572" w:lineRule="exact"/>
        <w:jc w:val="center"/>
        <w:outlineLvl w:val="1"/>
        <w:rPr>
          <w:rFonts w:ascii="黑体" w:eastAsia="黑体" w:hAnsi="黑体"/>
          <w:b/>
          <w:kern w:val="0"/>
          <w:sz w:val="44"/>
          <w:szCs w:val="44"/>
          <w:lang w:val="zh-CN"/>
        </w:rPr>
      </w:pPr>
      <w:bookmarkStart w:id="73" w:name="_Toc4359"/>
      <w:r>
        <w:rPr>
          <w:rFonts w:ascii="黑体" w:eastAsia="黑体" w:hAnsi="黑体" w:hint="eastAsia"/>
          <w:b/>
          <w:kern w:val="0"/>
          <w:sz w:val="44"/>
          <w:szCs w:val="44"/>
        </w:rPr>
        <w:t>整体绩效评价报告</w:t>
      </w:r>
      <w:bookmarkEnd w:id="73"/>
    </w:p>
    <w:p w:rsidR="00FD3477" w:rsidRDefault="00FD3477">
      <w:pPr>
        <w:widowControl/>
        <w:adjustRightInd w:val="0"/>
        <w:snapToGrid w:val="0"/>
        <w:spacing w:line="572" w:lineRule="exact"/>
        <w:ind w:firstLineChars="200" w:firstLine="640"/>
        <w:contextualSpacing/>
        <w:jc w:val="left"/>
        <w:rPr>
          <w:rFonts w:ascii="黑体" w:eastAsia="黑体" w:hAnsi="宋体" w:cs="宋体"/>
          <w:kern w:val="0"/>
          <w:sz w:val="32"/>
          <w:szCs w:val="32"/>
          <w:shd w:val="clear" w:color="auto" w:fill="FFFFFF"/>
        </w:rPr>
      </w:pPr>
    </w:p>
    <w:p w:rsidR="00FD3477" w:rsidRDefault="00B3617E">
      <w:pPr>
        <w:widowControl/>
        <w:adjustRightInd w:val="0"/>
        <w:snapToGrid w:val="0"/>
        <w:spacing w:line="572" w:lineRule="exact"/>
        <w:ind w:firstLineChars="200" w:firstLine="640"/>
        <w:contextualSpacing/>
        <w:jc w:val="left"/>
        <w:outlineLvl w:val="1"/>
        <w:rPr>
          <w:rFonts w:ascii="黑体" w:eastAsia="黑体" w:hAnsi="宋体" w:cs="宋体"/>
          <w:kern w:val="0"/>
          <w:sz w:val="32"/>
          <w:szCs w:val="32"/>
          <w:shd w:val="clear" w:color="auto" w:fill="FFFFFF"/>
          <w:lang w:val="zh-CN"/>
        </w:rPr>
      </w:pPr>
      <w:bookmarkStart w:id="74" w:name="_Toc18613"/>
      <w:r>
        <w:rPr>
          <w:rFonts w:ascii="黑体" w:eastAsia="黑体" w:hAnsi="宋体" w:cs="宋体" w:hint="eastAsia"/>
          <w:kern w:val="0"/>
          <w:sz w:val="32"/>
          <w:szCs w:val="32"/>
          <w:shd w:val="clear" w:color="auto" w:fill="FFFFFF"/>
        </w:rPr>
        <w:t>一、</w:t>
      </w:r>
      <w:r>
        <w:rPr>
          <w:rFonts w:ascii="黑体" w:eastAsia="黑体" w:hAnsi="宋体" w:cs="宋体" w:hint="eastAsia"/>
          <w:kern w:val="0"/>
          <w:sz w:val="32"/>
          <w:szCs w:val="32"/>
          <w:shd w:val="clear" w:color="auto" w:fill="FFFFFF"/>
          <w:lang w:val="zh-CN"/>
        </w:rPr>
        <w:t>单位概况</w:t>
      </w:r>
      <w:bookmarkEnd w:id="74"/>
    </w:p>
    <w:p w:rsidR="00FD3477" w:rsidRDefault="00B3617E">
      <w:pPr>
        <w:widowControl/>
        <w:adjustRightInd w:val="0"/>
        <w:snapToGrid w:val="0"/>
        <w:spacing w:line="572" w:lineRule="exact"/>
        <w:ind w:firstLineChars="200" w:firstLine="643"/>
        <w:contextualSpacing/>
        <w:jc w:val="left"/>
        <w:rPr>
          <w:rFonts w:ascii="仿宋" w:eastAsia="仿宋" w:hAnsi="仿宋" w:cs="宋体"/>
          <w:b/>
          <w:kern w:val="0"/>
          <w:sz w:val="32"/>
          <w:szCs w:val="32"/>
          <w:shd w:val="clear" w:color="auto" w:fill="FFFFFF"/>
          <w:lang w:val="zh-CN"/>
        </w:rPr>
      </w:pPr>
      <w:r>
        <w:rPr>
          <w:rFonts w:ascii="仿宋" w:eastAsia="仿宋" w:hAnsi="仿宋" w:cs="宋体" w:hint="eastAsia"/>
          <w:b/>
          <w:kern w:val="0"/>
          <w:sz w:val="32"/>
          <w:szCs w:val="32"/>
          <w:shd w:val="clear" w:color="auto" w:fill="FFFFFF"/>
          <w:lang w:val="zh-CN"/>
        </w:rPr>
        <w:t>（一）机构组成。</w:t>
      </w:r>
    </w:p>
    <w:p w:rsidR="00FD3477" w:rsidRDefault="00B3617E">
      <w:pPr>
        <w:widowControl/>
        <w:adjustRightInd w:val="0"/>
        <w:snapToGrid w:val="0"/>
        <w:spacing w:line="560" w:lineRule="exact"/>
        <w:ind w:firstLineChars="200" w:firstLine="640"/>
        <w:contextualSpacing/>
        <w:jc w:val="left"/>
        <w:rPr>
          <w:rFonts w:ascii="仿宋" w:eastAsia="仿宋" w:hAnsi="仿宋" w:cs="宋体"/>
          <w:b/>
          <w:color w:val="000000"/>
          <w:kern w:val="0"/>
          <w:sz w:val="32"/>
          <w:szCs w:val="32"/>
          <w:shd w:val="clear" w:color="auto" w:fill="FFFFFF"/>
          <w:lang w:val="zh-CN"/>
        </w:rPr>
      </w:pPr>
      <w:r>
        <w:rPr>
          <w:rFonts w:ascii="仿宋" w:eastAsia="仿宋" w:hAnsi="仿宋" w:hint="eastAsia"/>
          <w:color w:val="000000"/>
          <w:sz w:val="32"/>
          <w:szCs w:val="30"/>
        </w:rPr>
        <w:t>本单位是公益一类全额拨款事业单位。</w:t>
      </w:r>
    </w:p>
    <w:p w:rsidR="00FD3477" w:rsidRDefault="00B3617E">
      <w:pPr>
        <w:widowControl/>
        <w:tabs>
          <w:tab w:val="right" w:pos="8306"/>
        </w:tabs>
        <w:adjustRightInd w:val="0"/>
        <w:snapToGrid w:val="0"/>
        <w:spacing w:line="560" w:lineRule="exact"/>
        <w:ind w:firstLineChars="200" w:firstLine="643"/>
        <w:contextualSpacing/>
        <w:jc w:val="left"/>
        <w:rPr>
          <w:rFonts w:ascii="仿宋" w:eastAsia="仿宋" w:hAnsi="仿宋" w:cs="宋体"/>
          <w:b/>
          <w:color w:val="000000"/>
          <w:kern w:val="0"/>
          <w:sz w:val="32"/>
          <w:szCs w:val="32"/>
          <w:shd w:val="clear" w:color="auto" w:fill="FFFFFF"/>
          <w:lang w:val="zh-CN"/>
        </w:rPr>
      </w:pPr>
      <w:r>
        <w:rPr>
          <w:rFonts w:ascii="仿宋" w:eastAsia="仿宋" w:hAnsi="仿宋" w:cs="宋体" w:hint="eastAsia"/>
          <w:b/>
          <w:color w:val="000000"/>
          <w:kern w:val="0"/>
          <w:sz w:val="32"/>
          <w:szCs w:val="32"/>
          <w:shd w:val="clear" w:color="auto" w:fill="FFFFFF"/>
          <w:lang w:val="zh-CN"/>
        </w:rPr>
        <w:t>（二）机构职能。</w:t>
      </w:r>
      <w:r>
        <w:rPr>
          <w:rFonts w:ascii="仿宋" w:eastAsia="仿宋" w:hAnsi="仿宋" w:cs="宋体"/>
          <w:b/>
          <w:color w:val="000000"/>
          <w:kern w:val="0"/>
          <w:sz w:val="32"/>
          <w:szCs w:val="32"/>
          <w:shd w:val="clear" w:color="auto" w:fill="FFFFFF"/>
          <w:lang w:val="zh-CN"/>
        </w:rPr>
        <w:tab/>
      </w:r>
    </w:p>
    <w:p w:rsidR="00FD3477" w:rsidRDefault="00B3617E">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负责农作物种子质量监督管理及种子质量纠纷田间鉴定、农业植物新品种保护、各类农作物种子选育、引进、试验、示范、推广工作。</w:t>
      </w:r>
    </w:p>
    <w:p w:rsidR="00FD3477" w:rsidRDefault="00B3617E">
      <w:pPr>
        <w:widowControl/>
        <w:adjustRightInd w:val="0"/>
        <w:snapToGrid w:val="0"/>
        <w:spacing w:line="560" w:lineRule="exact"/>
        <w:ind w:firstLineChars="200" w:firstLine="643"/>
        <w:contextualSpacing/>
        <w:jc w:val="left"/>
        <w:rPr>
          <w:rFonts w:ascii="仿宋" w:eastAsia="仿宋" w:hAnsi="仿宋" w:cs="宋体"/>
          <w:b/>
          <w:color w:val="000000"/>
          <w:kern w:val="0"/>
          <w:sz w:val="32"/>
          <w:szCs w:val="32"/>
          <w:shd w:val="clear" w:color="auto" w:fill="FFFFFF"/>
          <w:lang w:val="zh-CN"/>
        </w:rPr>
      </w:pPr>
      <w:r>
        <w:rPr>
          <w:rFonts w:ascii="仿宋" w:eastAsia="仿宋" w:hAnsi="仿宋" w:cs="宋体" w:hint="eastAsia"/>
          <w:b/>
          <w:color w:val="000000"/>
          <w:kern w:val="0"/>
          <w:sz w:val="32"/>
          <w:szCs w:val="32"/>
          <w:shd w:val="clear" w:color="auto" w:fill="FFFFFF"/>
          <w:lang w:val="zh-CN"/>
        </w:rPr>
        <w:t>（三）人员概况。</w:t>
      </w:r>
    </w:p>
    <w:p w:rsidR="00FD3477" w:rsidRDefault="00B3617E">
      <w:pPr>
        <w:widowControl/>
        <w:adjustRightInd w:val="0"/>
        <w:snapToGrid w:val="0"/>
        <w:spacing w:line="560" w:lineRule="exact"/>
        <w:ind w:firstLineChars="200" w:firstLine="640"/>
        <w:contextualSpacing/>
        <w:jc w:val="left"/>
        <w:rPr>
          <w:rFonts w:ascii="仿宋" w:eastAsia="仿宋" w:hAnsi="仿宋"/>
          <w:color w:val="000000"/>
          <w:sz w:val="32"/>
          <w:szCs w:val="30"/>
        </w:rPr>
      </w:pPr>
      <w:r>
        <w:rPr>
          <w:rFonts w:ascii="仿宋" w:eastAsia="仿宋" w:hAnsi="仿宋" w:hint="eastAsia"/>
          <w:color w:val="000000"/>
          <w:sz w:val="32"/>
          <w:szCs w:val="30"/>
        </w:rPr>
        <w:t>单位现有职工</w:t>
      </w:r>
      <w:r>
        <w:rPr>
          <w:rFonts w:ascii="仿宋" w:eastAsia="仿宋" w:hAnsi="仿宋" w:hint="eastAsia"/>
          <w:color w:val="000000"/>
          <w:sz w:val="32"/>
          <w:szCs w:val="30"/>
        </w:rPr>
        <w:t>21</w:t>
      </w:r>
      <w:r>
        <w:rPr>
          <w:rFonts w:ascii="仿宋" w:eastAsia="仿宋" w:hAnsi="仿宋" w:hint="eastAsia"/>
          <w:color w:val="000000"/>
          <w:sz w:val="32"/>
          <w:szCs w:val="30"/>
        </w:rPr>
        <w:t>人。</w:t>
      </w:r>
    </w:p>
    <w:p w:rsidR="00FD3477" w:rsidRDefault="00B3617E">
      <w:pPr>
        <w:widowControl/>
        <w:adjustRightInd w:val="0"/>
        <w:snapToGrid w:val="0"/>
        <w:spacing w:line="560" w:lineRule="exact"/>
        <w:ind w:firstLineChars="200" w:firstLine="640"/>
        <w:contextualSpacing/>
        <w:jc w:val="left"/>
        <w:outlineLvl w:val="1"/>
        <w:rPr>
          <w:rFonts w:ascii="黑体" w:eastAsia="黑体" w:hAnsi="宋体" w:cs="宋体"/>
          <w:kern w:val="0"/>
          <w:sz w:val="32"/>
          <w:szCs w:val="32"/>
          <w:shd w:val="clear" w:color="auto" w:fill="FFFFFF"/>
        </w:rPr>
      </w:pPr>
      <w:bookmarkStart w:id="75" w:name="_Toc17630"/>
      <w:r>
        <w:rPr>
          <w:rFonts w:ascii="黑体" w:eastAsia="黑体" w:hAnsi="宋体" w:cs="宋体" w:hint="eastAsia"/>
          <w:kern w:val="0"/>
          <w:sz w:val="32"/>
          <w:szCs w:val="32"/>
          <w:shd w:val="clear" w:color="auto" w:fill="FFFFFF"/>
        </w:rPr>
        <w:t>二、单位财政资金收支情况</w:t>
      </w:r>
      <w:bookmarkEnd w:id="75"/>
    </w:p>
    <w:p w:rsidR="00FD3477" w:rsidRDefault="00B3617E">
      <w:pPr>
        <w:widowControl/>
        <w:adjustRightInd w:val="0"/>
        <w:snapToGrid w:val="0"/>
        <w:spacing w:line="560" w:lineRule="exact"/>
        <w:ind w:firstLineChars="200" w:firstLine="643"/>
        <w:contextualSpacing/>
        <w:jc w:val="left"/>
        <w:rPr>
          <w:rFonts w:ascii="仿宋" w:eastAsia="仿宋" w:hAnsi="仿宋" w:cs="宋体"/>
          <w:b/>
          <w:color w:val="000000"/>
          <w:kern w:val="0"/>
          <w:sz w:val="32"/>
          <w:szCs w:val="32"/>
          <w:shd w:val="clear" w:color="auto" w:fill="FFFFFF"/>
          <w:lang w:val="zh-CN"/>
        </w:rPr>
      </w:pPr>
      <w:r w:rsidRPr="005E1D6A">
        <w:rPr>
          <w:rFonts w:ascii="仿宋" w:eastAsia="仿宋" w:hAnsi="仿宋" w:cs="宋体" w:hint="eastAsia"/>
          <w:b/>
          <w:color w:val="000000"/>
          <w:kern w:val="0"/>
          <w:sz w:val="32"/>
          <w:szCs w:val="32"/>
          <w:u w:val="thick" w:color="FFB03A"/>
          <w:shd w:val="clear" w:color="auto" w:fill="FFEFD8"/>
          <w:lang w:val="zh-CN"/>
        </w:rPr>
        <w:t>（一）</w:t>
      </w:r>
      <w:r>
        <w:rPr>
          <w:rFonts w:ascii="仿宋" w:eastAsia="仿宋" w:hAnsi="仿宋" w:cs="宋体" w:hint="eastAsia"/>
          <w:b/>
          <w:color w:val="000000"/>
          <w:kern w:val="0"/>
          <w:sz w:val="32"/>
          <w:szCs w:val="32"/>
          <w:shd w:val="clear" w:color="auto" w:fill="FFFFFF"/>
          <w:lang w:val="zh-CN"/>
        </w:rPr>
        <w:t>单位财政资金收入情况。</w:t>
      </w:r>
    </w:p>
    <w:p w:rsidR="00FD3477" w:rsidRDefault="00B3617E">
      <w:pPr>
        <w:widowControl/>
        <w:adjustRightInd w:val="0"/>
        <w:snapToGrid w:val="0"/>
        <w:spacing w:line="560" w:lineRule="exact"/>
        <w:ind w:firstLineChars="200" w:firstLine="640"/>
        <w:contextualSpacing/>
        <w:jc w:val="left"/>
        <w:rPr>
          <w:rFonts w:ascii="仿宋" w:eastAsia="仿宋" w:hAnsi="仿宋" w:cs="宋体"/>
          <w:b/>
          <w:color w:val="000000"/>
          <w:kern w:val="0"/>
          <w:sz w:val="32"/>
          <w:szCs w:val="32"/>
          <w:shd w:val="clear" w:color="auto" w:fill="FFFFFF"/>
          <w:lang w:val="zh-CN"/>
        </w:rPr>
      </w:pPr>
      <w:r>
        <w:rPr>
          <w:rFonts w:ascii="仿宋" w:eastAsia="仿宋" w:hAnsi="仿宋" w:hint="eastAsia"/>
          <w:color w:val="000000"/>
          <w:sz w:val="32"/>
          <w:szCs w:val="32"/>
        </w:rPr>
        <w:t>2021</w:t>
      </w:r>
      <w:r>
        <w:rPr>
          <w:rFonts w:ascii="仿宋" w:eastAsia="仿宋" w:hAnsi="仿宋" w:hint="eastAsia"/>
          <w:color w:val="000000"/>
          <w:sz w:val="32"/>
          <w:szCs w:val="32"/>
        </w:rPr>
        <w:t>年通江县种子管理站本年收入</w:t>
      </w:r>
      <w:r>
        <w:rPr>
          <w:rFonts w:ascii="仿宋" w:eastAsia="仿宋" w:hAnsi="仿宋" w:cs="仿宋_GB2312"/>
          <w:color w:val="000000"/>
          <w:sz w:val="32"/>
          <w:szCs w:val="32"/>
        </w:rPr>
        <w:t>338.83</w:t>
      </w:r>
      <w:r w:rsidR="007626F7" w:rsidRPr="005E1D6A">
        <w:rPr>
          <w:rFonts w:ascii="仿宋" w:eastAsia="仿宋" w:hAnsi="仿宋" w:cs="仿宋_GB2312" w:hint="eastAsia"/>
          <w:color w:val="000000"/>
          <w:sz w:val="32"/>
          <w:szCs w:val="32"/>
          <w:u w:color="46CD7E"/>
        </w:rPr>
        <w:t>万元。</w:t>
      </w:r>
      <w:r>
        <w:rPr>
          <w:rFonts w:ascii="仿宋" w:eastAsia="仿宋" w:hAnsi="仿宋" w:hint="eastAsia"/>
          <w:color w:val="000000"/>
          <w:sz w:val="32"/>
          <w:szCs w:val="32"/>
        </w:rPr>
        <w:t>其中：一般公共预算收入</w:t>
      </w:r>
      <w:r>
        <w:rPr>
          <w:rFonts w:ascii="仿宋" w:eastAsia="仿宋" w:hAnsi="仿宋" w:cs="仿宋_GB2312"/>
          <w:color w:val="000000"/>
          <w:sz w:val="32"/>
          <w:szCs w:val="32"/>
        </w:rPr>
        <w:t>336.13</w:t>
      </w:r>
      <w:r>
        <w:rPr>
          <w:rFonts w:ascii="仿宋" w:eastAsia="仿宋" w:hAnsi="仿宋" w:hint="eastAsia"/>
          <w:color w:val="000000"/>
          <w:sz w:val="32"/>
          <w:szCs w:val="32"/>
        </w:rPr>
        <w:t>万元，</w:t>
      </w:r>
      <w:r>
        <w:rPr>
          <w:rFonts w:ascii="仿宋" w:eastAsia="仿宋" w:hAnsi="仿宋" w:cs="仿宋_GB2312" w:hint="eastAsia"/>
          <w:color w:val="000000"/>
          <w:sz w:val="32"/>
          <w:szCs w:val="32"/>
        </w:rPr>
        <w:t>占全年收入的</w:t>
      </w:r>
      <w:r>
        <w:rPr>
          <w:rFonts w:ascii="仿宋" w:eastAsia="仿宋" w:hAnsi="仿宋" w:hint="eastAsia"/>
          <w:color w:val="000000"/>
          <w:sz w:val="32"/>
          <w:szCs w:val="32"/>
        </w:rPr>
        <w:t>99.2%</w:t>
      </w:r>
      <w:r>
        <w:rPr>
          <w:rFonts w:ascii="仿宋" w:eastAsia="仿宋" w:hAnsi="仿宋" w:hint="eastAsia"/>
          <w:color w:val="000000"/>
          <w:sz w:val="32"/>
          <w:szCs w:val="32"/>
        </w:rPr>
        <w:t>；其他收入</w:t>
      </w:r>
      <w:r>
        <w:rPr>
          <w:rFonts w:ascii="仿宋" w:eastAsia="仿宋" w:hAnsi="仿宋" w:hint="eastAsia"/>
          <w:color w:val="000000"/>
          <w:sz w:val="32"/>
          <w:szCs w:val="32"/>
        </w:rPr>
        <w:t>2.7</w:t>
      </w:r>
      <w:r>
        <w:rPr>
          <w:rFonts w:ascii="仿宋" w:eastAsia="仿宋" w:hAnsi="仿宋" w:hint="eastAsia"/>
          <w:color w:val="000000"/>
          <w:sz w:val="32"/>
          <w:szCs w:val="32"/>
        </w:rPr>
        <w:t>万元，</w:t>
      </w:r>
      <w:r>
        <w:rPr>
          <w:rFonts w:ascii="仿宋" w:eastAsia="仿宋" w:hAnsi="仿宋" w:cs="仿宋_GB2312" w:hint="eastAsia"/>
          <w:color w:val="000000"/>
          <w:sz w:val="32"/>
          <w:szCs w:val="32"/>
        </w:rPr>
        <w:t>占全年收入的</w:t>
      </w:r>
      <w:r w:rsidRPr="005E1D6A">
        <w:rPr>
          <w:rFonts w:ascii="仿宋" w:eastAsia="仿宋" w:hAnsi="仿宋" w:hint="eastAsia"/>
          <w:color w:val="000000"/>
          <w:sz w:val="32"/>
          <w:szCs w:val="32"/>
          <w:u w:val="thick" w:color="909090"/>
          <w:shd w:val="clear" w:color="auto" w:fill="DDDDDD"/>
        </w:rPr>
        <w:t>占</w:t>
      </w:r>
      <w:r>
        <w:rPr>
          <w:rFonts w:ascii="仿宋" w:eastAsia="仿宋" w:hAnsi="仿宋" w:hint="eastAsia"/>
          <w:color w:val="000000"/>
          <w:sz w:val="32"/>
          <w:szCs w:val="32"/>
        </w:rPr>
        <w:t>0.8%</w:t>
      </w:r>
      <w:r>
        <w:rPr>
          <w:rFonts w:ascii="仿宋" w:eastAsia="仿宋" w:hAnsi="仿宋" w:cs="仿宋_GB2312" w:hint="eastAsia"/>
          <w:color w:val="000000"/>
          <w:sz w:val="32"/>
          <w:szCs w:val="32"/>
        </w:rPr>
        <w:t>。</w:t>
      </w:r>
    </w:p>
    <w:p w:rsidR="00FD3477" w:rsidRDefault="00B3617E">
      <w:pPr>
        <w:widowControl/>
        <w:adjustRightInd w:val="0"/>
        <w:snapToGrid w:val="0"/>
        <w:spacing w:line="560" w:lineRule="exact"/>
        <w:ind w:firstLineChars="200" w:firstLine="643"/>
        <w:contextualSpacing/>
        <w:jc w:val="left"/>
        <w:rPr>
          <w:rFonts w:ascii="仿宋" w:eastAsia="仿宋" w:hAnsi="仿宋" w:cs="宋体"/>
          <w:b/>
          <w:color w:val="000000"/>
          <w:kern w:val="0"/>
          <w:sz w:val="32"/>
          <w:szCs w:val="32"/>
          <w:shd w:val="clear" w:color="auto" w:fill="FFFFFF"/>
          <w:lang w:val="zh-CN"/>
        </w:rPr>
      </w:pPr>
      <w:r>
        <w:rPr>
          <w:rFonts w:ascii="仿宋" w:eastAsia="仿宋" w:hAnsi="仿宋" w:cs="宋体" w:hint="eastAsia"/>
          <w:b/>
          <w:color w:val="000000"/>
          <w:kern w:val="0"/>
          <w:sz w:val="32"/>
          <w:szCs w:val="32"/>
          <w:shd w:val="clear" w:color="auto" w:fill="FFFFFF"/>
          <w:lang w:val="zh-CN"/>
        </w:rPr>
        <w:t>（二）单位财政资金支出情况。</w:t>
      </w:r>
    </w:p>
    <w:p w:rsidR="00FD3477" w:rsidRDefault="00B3617E">
      <w:pPr>
        <w:pStyle w:val="ad"/>
        <w:widowControl/>
        <w:numPr>
          <w:ilvl w:val="0"/>
          <w:numId w:val="4"/>
        </w:numPr>
        <w:adjustRightInd w:val="0"/>
        <w:snapToGrid w:val="0"/>
        <w:spacing w:line="560" w:lineRule="exact"/>
        <w:ind w:firstLineChars="0"/>
        <w:contextualSpacing/>
        <w:jc w:val="left"/>
        <w:rPr>
          <w:rFonts w:ascii="仿宋" w:eastAsia="仿宋" w:hAnsi="仿宋" w:cs="宋体"/>
          <w:b/>
          <w:color w:val="000000"/>
          <w:kern w:val="0"/>
          <w:sz w:val="32"/>
          <w:szCs w:val="32"/>
          <w:shd w:val="clear" w:color="auto" w:fill="FFFFFF"/>
          <w:lang w:val="zh-CN"/>
        </w:rPr>
      </w:pPr>
      <w:r>
        <w:rPr>
          <w:rFonts w:ascii="仿宋" w:eastAsia="仿宋" w:hAnsi="仿宋" w:hint="eastAsia"/>
          <w:color w:val="000000"/>
          <w:sz w:val="32"/>
          <w:szCs w:val="32"/>
        </w:rPr>
        <w:t>2021</w:t>
      </w:r>
      <w:r>
        <w:rPr>
          <w:rFonts w:ascii="仿宋" w:eastAsia="仿宋" w:hAnsi="仿宋" w:hint="eastAsia"/>
          <w:color w:val="000000"/>
          <w:sz w:val="32"/>
          <w:szCs w:val="32"/>
        </w:rPr>
        <w:t>年通江县种子管理站本年</w:t>
      </w:r>
      <w:r>
        <w:rPr>
          <w:rFonts w:ascii="仿宋" w:eastAsia="仿宋" w:hAnsi="仿宋"/>
          <w:color w:val="000000"/>
          <w:sz w:val="32"/>
          <w:szCs w:val="32"/>
        </w:rPr>
        <w:t>支出</w:t>
      </w:r>
      <w:r>
        <w:rPr>
          <w:rFonts w:ascii="仿宋" w:eastAsia="仿宋" w:hAnsi="仿宋"/>
          <w:color w:val="000000"/>
          <w:sz w:val="32"/>
          <w:szCs w:val="32"/>
        </w:rPr>
        <w:t>338.83</w:t>
      </w:r>
      <w:r w:rsidR="007626F7" w:rsidRPr="007626F7">
        <w:rPr>
          <w:rFonts w:ascii="仿宋" w:eastAsia="仿宋" w:hAnsi="仿宋" w:hint="eastAsia"/>
          <w:color w:val="000000"/>
          <w:sz w:val="32"/>
          <w:szCs w:val="32"/>
          <w:u w:color="46CD7E"/>
        </w:rPr>
        <w:t>万元。</w:t>
      </w:r>
      <w:r>
        <w:rPr>
          <w:rFonts w:ascii="仿宋" w:eastAsia="仿宋" w:hAnsi="仿宋" w:hint="eastAsia"/>
          <w:color w:val="000000"/>
          <w:sz w:val="32"/>
          <w:szCs w:val="32"/>
        </w:rPr>
        <w:t>其中：</w:t>
      </w:r>
      <w:r>
        <w:rPr>
          <w:rFonts w:ascii="仿宋" w:eastAsia="仿宋" w:hAnsi="仿宋"/>
          <w:color w:val="000000"/>
          <w:sz w:val="32"/>
          <w:szCs w:val="32"/>
        </w:rPr>
        <w:t>基本支出</w:t>
      </w:r>
      <w:r>
        <w:rPr>
          <w:rFonts w:ascii="仿宋" w:eastAsia="仿宋" w:hAnsi="仿宋"/>
          <w:color w:val="000000"/>
          <w:sz w:val="32"/>
          <w:szCs w:val="32"/>
        </w:rPr>
        <w:t>318.43</w:t>
      </w:r>
      <w:r>
        <w:rPr>
          <w:rFonts w:ascii="仿宋" w:eastAsia="仿宋" w:hAnsi="仿宋"/>
          <w:color w:val="000000"/>
          <w:sz w:val="32"/>
          <w:szCs w:val="32"/>
        </w:rPr>
        <w:t>万元</w:t>
      </w:r>
      <w:r>
        <w:rPr>
          <w:rFonts w:ascii="仿宋" w:eastAsia="仿宋" w:hAnsi="仿宋" w:hint="eastAsia"/>
          <w:color w:val="000000"/>
          <w:sz w:val="32"/>
          <w:szCs w:val="32"/>
        </w:rPr>
        <w:t>，</w:t>
      </w:r>
      <w:r>
        <w:rPr>
          <w:rFonts w:ascii="仿宋" w:eastAsia="仿宋" w:hAnsi="仿宋"/>
          <w:color w:val="000000"/>
          <w:sz w:val="32"/>
          <w:szCs w:val="32"/>
        </w:rPr>
        <w:t>项目支出</w:t>
      </w:r>
      <w:r>
        <w:rPr>
          <w:rFonts w:ascii="仿宋" w:eastAsia="仿宋" w:hAnsi="仿宋"/>
          <w:color w:val="000000"/>
          <w:sz w:val="32"/>
          <w:szCs w:val="32"/>
        </w:rPr>
        <w:t>20.4</w:t>
      </w:r>
      <w:r>
        <w:rPr>
          <w:rFonts w:ascii="仿宋" w:eastAsia="仿宋" w:hAnsi="仿宋"/>
          <w:color w:val="000000"/>
          <w:sz w:val="32"/>
          <w:szCs w:val="32"/>
        </w:rPr>
        <w:t>万元</w:t>
      </w:r>
      <w:r>
        <w:rPr>
          <w:rFonts w:ascii="仿宋" w:eastAsia="仿宋" w:hAnsi="仿宋" w:hint="eastAsia"/>
          <w:color w:val="000000"/>
          <w:sz w:val="32"/>
          <w:szCs w:val="32"/>
        </w:rPr>
        <w:t>。</w:t>
      </w:r>
      <w:r>
        <w:rPr>
          <w:rFonts w:ascii="仿宋" w:eastAsia="仿宋" w:hAnsi="仿宋"/>
          <w:color w:val="000000"/>
          <w:sz w:val="32"/>
          <w:szCs w:val="32"/>
        </w:rPr>
        <w:t xml:space="preserve"> </w:t>
      </w:r>
    </w:p>
    <w:p w:rsidR="00FD3477" w:rsidRDefault="00B3617E">
      <w:pPr>
        <w:widowControl/>
        <w:adjustRightInd w:val="0"/>
        <w:snapToGrid w:val="0"/>
        <w:spacing w:line="560" w:lineRule="exact"/>
        <w:ind w:firstLineChars="200" w:firstLine="640"/>
        <w:contextualSpacing/>
        <w:jc w:val="left"/>
        <w:outlineLvl w:val="1"/>
        <w:rPr>
          <w:rFonts w:ascii="黑体" w:eastAsia="黑体" w:hAnsi="宋体" w:cs="宋体"/>
          <w:kern w:val="0"/>
          <w:sz w:val="32"/>
          <w:szCs w:val="32"/>
          <w:shd w:val="clear" w:color="auto" w:fill="FFFFFF"/>
        </w:rPr>
      </w:pPr>
      <w:bookmarkStart w:id="76" w:name="_Toc17339"/>
      <w:r>
        <w:rPr>
          <w:rFonts w:ascii="黑体" w:eastAsia="黑体" w:hAnsi="宋体" w:cs="宋体" w:hint="eastAsia"/>
          <w:kern w:val="0"/>
          <w:sz w:val="32"/>
          <w:szCs w:val="32"/>
          <w:shd w:val="clear" w:color="auto" w:fill="FFFFFF"/>
        </w:rPr>
        <w:t>三、单位整体预算绩效管理情况</w:t>
      </w:r>
      <w:bookmarkEnd w:id="76"/>
    </w:p>
    <w:p w:rsidR="00FD3477" w:rsidRDefault="00B3617E">
      <w:pPr>
        <w:widowControl/>
        <w:adjustRightInd w:val="0"/>
        <w:snapToGrid w:val="0"/>
        <w:spacing w:line="560" w:lineRule="exact"/>
        <w:ind w:firstLineChars="200" w:firstLine="643"/>
        <w:contextualSpacing/>
        <w:jc w:val="left"/>
        <w:rPr>
          <w:rFonts w:ascii="仿宋" w:eastAsia="仿宋" w:hAnsi="仿宋" w:cs="宋体"/>
          <w:b/>
          <w:color w:val="000000"/>
          <w:kern w:val="0"/>
          <w:sz w:val="32"/>
          <w:szCs w:val="32"/>
          <w:shd w:val="clear" w:color="auto" w:fill="FFFFFF"/>
          <w:lang w:val="zh-CN"/>
        </w:rPr>
      </w:pPr>
      <w:r>
        <w:rPr>
          <w:rFonts w:ascii="仿宋" w:eastAsia="仿宋" w:hAnsi="仿宋" w:cs="宋体" w:hint="eastAsia"/>
          <w:b/>
          <w:color w:val="000000"/>
          <w:kern w:val="0"/>
          <w:sz w:val="32"/>
          <w:szCs w:val="32"/>
          <w:shd w:val="clear" w:color="auto" w:fill="FFFFFF"/>
          <w:lang w:val="zh-CN"/>
        </w:rPr>
        <w:t>（一）部门预算管理。</w:t>
      </w:r>
      <w:r>
        <w:rPr>
          <w:rFonts w:ascii="仿宋" w:eastAsia="仿宋" w:hAnsi="仿宋" w:hint="eastAsia"/>
          <w:color w:val="000000"/>
          <w:sz w:val="32"/>
          <w:szCs w:val="32"/>
        </w:rPr>
        <w:t>2021</w:t>
      </w:r>
      <w:r>
        <w:rPr>
          <w:rFonts w:ascii="仿宋" w:eastAsia="仿宋" w:hAnsi="仿宋" w:hint="eastAsia"/>
          <w:color w:val="000000"/>
          <w:sz w:val="32"/>
          <w:szCs w:val="32"/>
        </w:rPr>
        <w:t>年本单位按照综合预算的原则，所有收入和支出均纳入部门预算管理；</w:t>
      </w:r>
      <w:r w:rsidR="007626F7" w:rsidRPr="007626F7">
        <w:rPr>
          <w:rFonts w:ascii="仿宋" w:eastAsia="仿宋" w:hAnsi="仿宋" w:hint="eastAsia"/>
          <w:color w:val="000000"/>
          <w:sz w:val="32"/>
          <w:szCs w:val="32"/>
          <w:u w:color="46CD7E"/>
        </w:rPr>
        <w:t>并且</w:t>
      </w:r>
      <w:r>
        <w:rPr>
          <w:rFonts w:ascii="仿宋" w:eastAsia="仿宋" w:hAnsi="仿宋" w:hint="eastAsia"/>
          <w:color w:val="000000"/>
          <w:sz w:val="32"/>
          <w:szCs w:val="32"/>
        </w:rPr>
        <w:t>按照全面实</w:t>
      </w:r>
      <w:r>
        <w:rPr>
          <w:rFonts w:ascii="仿宋" w:eastAsia="仿宋" w:hAnsi="仿宋" w:hint="eastAsia"/>
          <w:color w:val="000000"/>
          <w:sz w:val="32"/>
          <w:szCs w:val="32"/>
        </w:rPr>
        <w:lastRenderedPageBreak/>
        <w:t>施预算绩效管理要求，编制了整体支出绩效目标和项目支出绩效目标。</w:t>
      </w:r>
    </w:p>
    <w:p w:rsidR="00FD3477" w:rsidRDefault="00B3617E">
      <w:pPr>
        <w:widowControl/>
        <w:adjustRightInd w:val="0"/>
        <w:snapToGrid w:val="0"/>
        <w:spacing w:line="560" w:lineRule="exact"/>
        <w:ind w:firstLineChars="200" w:firstLine="643"/>
        <w:contextualSpacing/>
        <w:jc w:val="left"/>
        <w:rPr>
          <w:rFonts w:ascii="仿宋" w:eastAsia="仿宋" w:hAnsi="仿宋" w:cs="宋体"/>
          <w:b/>
          <w:color w:val="000000"/>
          <w:kern w:val="0"/>
          <w:sz w:val="32"/>
          <w:szCs w:val="32"/>
          <w:shd w:val="clear" w:color="auto" w:fill="FFFFFF"/>
          <w:lang w:val="zh-CN"/>
        </w:rPr>
      </w:pPr>
      <w:r>
        <w:rPr>
          <w:rFonts w:ascii="仿宋" w:eastAsia="仿宋" w:hAnsi="仿宋" w:cs="宋体" w:hint="eastAsia"/>
          <w:b/>
          <w:color w:val="000000"/>
          <w:kern w:val="0"/>
          <w:sz w:val="32"/>
          <w:szCs w:val="32"/>
          <w:shd w:val="clear" w:color="auto" w:fill="FFFFFF"/>
          <w:lang w:val="zh-CN"/>
        </w:rPr>
        <w:t>（二）结果应用情况。</w:t>
      </w:r>
      <w:r>
        <w:rPr>
          <w:rFonts w:ascii="仿宋" w:eastAsia="仿宋" w:hAnsi="仿宋" w:hint="eastAsia"/>
          <w:color w:val="000000"/>
          <w:sz w:val="32"/>
          <w:szCs w:val="32"/>
        </w:rPr>
        <w:t>部门绩效目标按照年初制定、全部完成、预算编制准确、支出严格按照要求控制、按照时间节点完成进度、无违规现象。</w:t>
      </w:r>
    </w:p>
    <w:p w:rsidR="00FD3477" w:rsidRDefault="00B3617E">
      <w:pPr>
        <w:widowControl/>
        <w:spacing w:line="56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专项预算项目程序严密、规划合理、结果符合、分配科学、分配及时、专项预算绩效目标完成、实施绩效、违规记录等情况。</w:t>
      </w:r>
    </w:p>
    <w:p w:rsidR="00FD3477" w:rsidRDefault="00B3617E">
      <w:pPr>
        <w:widowControl/>
        <w:adjustRightInd w:val="0"/>
        <w:snapToGrid w:val="0"/>
        <w:spacing w:line="560" w:lineRule="exact"/>
        <w:ind w:firstLineChars="200" w:firstLine="640"/>
        <w:contextualSpacing/>
        <w:jc w:val="left"/>
        <w:outlineLvl w:val="1"/>
        <w:rPr>
          <w:rFonts w:ascii="仿宋" w:eastAsia="仿宋" w:hAnsi="仿宋" w:cs="宋体"/>
          <w:color w:val="000000"/>
          <w:kern w:val="0"/>
          <w:sz w:val="32"/>
          <w:szCs w:val="32"/>
          <w:shd w:val="clear" w:color="auto" w:fill="FFFFFF"/>
        </w:rPr>
      </w:pPr>
      <w:bookmarkStart w:id="77" w:name="_Toc5705"/>
      <w:r>
        <w:rPr>
          <w:rFonts w:ascii="仿宋" w:eastAsia="仿宋" w:hAnsi="仿宋" w:cs="宋体" w:hint="eastAsia"/>
          <w:color w:val="000000"/>
          <w:kern w:val="0"/>
          <w:sz w:val="32"/>
          <w:szCs w:val="32"/>
          <w:shd w:val="clear" w:color="auto" w:fill="FFFFFF"/>
        </w:rPr>
        <w:t>四、评价结论及建议</w:t>
      </w:r>
      <w:bookmarkEnd w:id="77"/>
    </w:p>
    <w:p w:rsidR="00FD3477" w:rsidRDefault="00B3617E">
      <w:pPr>
        <w:widowControl/>
        <w:spacing w:line="560" w:lineRule="exact"/>
        <w:ind w:leftChars="171" w:left="359" w:firstLine="482"/>
        <w:jc w:val="left"/>
        <w:rPr>
          <w:rFonts w:ascii="仿宋" w:eastAsia="仿宋" w:hAnsi="仿宋" w:cs="仿宋"/>
          <w:sz w:val="32"/>
          <w:szCs w:val="32"/>
        </w:rPr>
      </w:pPr>
      <w:r>
        <w:rPr>
          <w:rFonts w:ascii="仿宋" w:eastAsia="仿宋" w:hAnsi="仿宋" w:cs="宋体" w:hint="eastAsia"/>
          <w:b/>
          <w:color w:val="000000"/>
          <w:kern w:val="0"/>
          <w:sz w:val="32"/>
          <w:szCs w:val="32"/>
          <w:shd w:val="clear" w:color="auto" w:fill="FFFFFF"/>
          <w:lang w:val="zh-CN"/>
        </w:rPr>
        <w:t>（一）评价结论。</w:t>
      </w:r>
      <w:r>
        <w:rPr>
          <w:rFonts w:ascii="仿宋" w:eastAsia="仿宋" w:hAnsi="仿宋" w:cs="仿宋" w:hint="eastAsia"/>
          <w:sz w:val="32"/>
          <w:szCs w:val="32"/>
        </w:rPr>
        <w:t>按照国家政策法规规定，结合本单位实际情况，建立健全了财务管理制度和约束机制，依法、有效地使用财政资金，提高财政资金使用效率，完成了部门职能目标，并大力削减开支，实现了较高的工作效率和支出绩效。</w:t>
      </w:r>
    </w:p>
    <w:p w:rsidR="00FD3477" w:rsidRDefault="00B3617E">
      <w:pPr>
        <w:widowControl/>
        <w:adjustRightInd w:val="0"/>
        <w:snapToGrid w:val="0"/>
        <w:spacing w:line="560" w:lineRule="exact"/>
        <w:ind w:firstLineChars="200" w:firstLine="643"/>
        <w:contextualSpacing/>
        <w:jc w:val="left"/>
        <w:rPr>
          <w:rFonts w:ascii="仿宋" w:eastAsia="仿宋" w:hAnsi="仿宋" w:cs="宋体"/>
          <w:b/>
          <w:color w:val="000000"/>
          <w:kern w:val="0"/>
          <w:sz w:val="32"/>
          <w:szCs w:val="32"/>
          <w:shd w:val="clear" w:color="auto" w:fill="FFFFFF"/>
          <w:lang w:val="zh-CN"/>
        </w:rPr>
      </w:pPr>
      <w:r>
        <w:rPr>
          <w:rFonts w:ascii="仿宋" w:eastAsia="仿宋" w:hAnsi="仿宋" w:cs="宋体" w:hint="eastAsia"/>
          <w:b/>
          <w:color w:val="000000"/>
          <w:kern w:val="0"/>
          <w:sz w:val="32"/>
          <w:szCs w:val="32"/>
          <w:shd w:val="clear" w:color="auto" w:fill="FFFFFF"/>
          <w:lang w:val="zh-CN"/>
        </w:rPr>
        <w:t>（二）存在问题。</w:t>
      </w:r>
    </w:p>
    <w:p w:rsidR="00FD3477" w:rsidRDefault="00B3617E">
      <w:pPr>
        <w:widowControl/>
        <w:spacing w:line="560" w:lineRule="exact"/>
        <w:ind w:leftChars="171" w:left="359" w:firstLine="482"/>
        <w:jc w:val="left"/>
        <w:rPr>
          <w:rFonts w:ascii="仿宋" w:eastAsia="仿宋" w:hAnsi="仿宋" w:cs="仿宋"/>
          <w:sz w:val="32"/>
          <w:szCs w:val="32"/>
        </w:rPr>
      </w:pPr>
      <w:r>
        <w:rPr>
          <w:rFonts w:ascii="仿宋" w:eastAsia="仿宋" w:hAnsi="仿宋" w:cs="仿宋" w:hint="eastAsia"/>
          <w:sz w:val="32"/>
          <w:szCs w:val="32"/>
        </w:rPr>
        <w:t>财政资金的使用绩效很多方面只能用定性办法进行绩效考核，难以用定量数字化进行精准考评。</w:t>
      </w:r>
    </w:p>
    <w:p w:rsidR="00FD3477" w:rsidRDefault="00B3617E">
      <w:pPr>
        <w:widowControl/>
        <w:spacing w:line="560" w:lineRule="exact"/>
        <w:ind w:firstLineChars="100" w:firstLine="321"/>
        <w:jc w:val="left"/>
        <w:rPr>
          <w:rFonts w:ascii="仿宋" w:eastAsia="仿宋" w:hAnsi="仿宋" w:cs="宋体"/>
          <w:b/>
          <w:color w:val="000000"/>
          <w:kern w:val="0"/>
          <w:sz w:val="32"/>
          <w:szCs w:val="32"/>
        </w:rPr>
      </w:pPr>
      <w:bookmarkStart w:id="78" w:name="_Toc15377226"/>
      <w:r>
        <w:rPr>
          <w:rFonts w:ascii="仿宋" w:eastAsia="仿宋" w:hAnsi="仿宋" w:cs="宋体" w:hint="eastAsia"/>
          <w:b/>
          <w:color w:val="000000"/>
          <w:kern w:val="0"/>
          <w:sz w:val="32"/>
          <w:szCs w:val="32"/>
        </w:rPr>
        <w:t>（三）</w:t>
      </w:r>
      <w:r>
        <w:rPr>
          <w:rFonts w:ascii="仿宋" w:eastAsia="仿宋" w:hAnsi="仿宋" w:cs="宋体" w:hint="eastAsia"/>
          <w:b/>
          <w:color w:val="000000"/>
          <w:kern w:val="0"/>
          <w:sz w:val="32"/>
          <w:szCs w:val="32"/>
        </w:rPr>
        <w:t>改进建议</w:t>
      </w:r>
    </w:p>
    <w:p w:rsidR="00FD3477" w:rsidRDefault="00B3617E">
      <w:pPr>
        <w:widowControl/>
        <w:spacing w:line="560" w:lineRule="exact"/>
        <w:ind w:leftChars="171" w:left="359" w:firstLine="482"/>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）我单位将进一步重视预算的编制工作，提高预算编制的精确度，提高财政资金使用效率，减少预算执行调整、结转和结余的情况。</w:t>
      </w:r>
    </w:p>
    <w:p w:rsidR="00FD3477" w:rsidRDefault="00B3617E">
      <w:pPr>
        <w:widowControl/>
        <w:spacing w:line="560" w:lineRule="exact"/>
        <w:ind w:leftChars="171" w:left="359" w:firstLine="482"/>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）定期开展半年预算执行情况自查工作，力争在预算当年及时完成所有项目预算资金的执行。</w:t>
      </w:r>
    </w:p>
    <w:p w:rsidR="00FD3477" w:rsidRDefault="00B3617E">
      <w:pPr>
        <w:spacing w:line="600" w:lineRule="exact"/>
        <w:jc w:val="center"/>
        <w:rPr>
          <w:rStyle w:val="10"/>
          <w:rFonts w:ascii="黑体" w:eastAsia="黑体" w:hAnsi="黑体"/>
          <w:b w:val="0"/>
        </w:rPr>
      </w:pPr>
      <w:r>
        <w:rPr>
          <w:rFonts w:ascii="宋体"/>
          <w:b/>
          <w:sz w:val="44"/>
          <w:szCs w:val="44"/>
        </w:rPr>
        <w:br w:type="page"/>
      </w:r>
    </w:p>
    <w:p w:rsidR="00FD3477" w:rsidRDefault="00B3617E">
      <w:pPr>
        <w:spacing w:line="600" w:lineRule="exact"/>
        <w:jc w:val="center"/>
        <w:outlineLvl w:val="0"/>
        <w:rPr>
          <w:rFonts w:ascii="仿宋" w:eastAsia="仿宋" w:hAnsi="仿宋"/>
        </w:rPr>
      </w:pPr>
      <w:bookmarkStart w:id="79" w:name="_Toc15396618"/>
      <w:bookmarkStart w:id="80" w:name="_Toc30108"/>
      <w:r>
        <w:rPr>
          <w:rFonts w:ascii="黑体" w:eastAsia="黑体" w:hAnsi="黑体" w:hint="eastAsia"/>
          <w:sz w:val="44"/>
          <w:szCs w:val="44"/>
        </w:rPr>
        <w:lastRenderedPageBreak/>
        <w:t>第</w:t>
      </w:r>
      <w:r>
        <w:rPr>
          <w:rStyle w:val="10"/>
          <w:rFonts w:ascii="黑体" w:eastAsia="黑体" w:hAnsi="黑体" w:hint="eastAsia"/>
          <w:b w:val="0"/>
        </w:rPr>
        <w:t>五部分</w:t>
      </w:r>
      <w:r>
        <w:rPr>
          <w:rStyle w:val="10"/>
          <w:rFonts w:ascii="黑体" w:eastAsia="黑体" w:hAnsi="黑体" w:hint="eastAsia"/>
          <w:b w:val="0"/>
        </w:rPr>
        <w:t xml:space="preserve"> </w:t>
      </w:r>
      <w:r>
        <w:rPr>
          <w:rStyle w:val="10"/>
          <w:rFonts w:ascii="黑体" w:eastAsia="黑体" w:hAnsi="黑体" w:hint="eastAsia"/>
          <w:b w:val="0"/>
        </w:rPr>
        <w:t>附表</w:t>
      </w:r>
      <w:bookmarkStart w:id="81" w:name="_Toc15396619"/>
      <w:bookmarkEnd w:id="78"/>
      <w:bookmarkEnd w:id="79"/>
      <w:bookmarkEnd w:id="80"/>
    </w:p>
    <w:p w:rsidR="00FD3477" w:rsidRDefault="00FD3477">
      <w:pPr>
        <w:pStyle w:val="2"/>
        <w:spacing w:before="0" w:after="0" w:line="640" w:lineRule="exact"/>
        <w:rPr>
          <w:rFonts w:ascii="仿宋" w:eastAsia="仿宋" w:hAnsi="仿宋"/>
          <w:b w:val="0"/>
        </w:rPr>
      </w:pPr>
      <w:bookmarkStart w:id="82" w:name="_Toc17756"/>
    </w:p>
    <w:p w:rsidR="00FD3477" w:rsidRDefault="00B3617E">
      <w:pPr>
        <w:pStyle w:val="2"/>
        <w:spacing w:before="0" w:after="0" w:line="640" w:lineRule="exact"/>
        <w:rPr>
          <w:rFonts w:ascii="仿宋" w:eastAsia="仿宋" w:hAnsi="仿宋"/>
        </w:rPr>
      </w:pPr>
      <w:r>
        <w:rPr>
          <w:rFonts w:ascii="仿宋" w:eastAsia="仿宋" w:hAnsi="仿宋" w:hint="eastAsia"/>
          <w:b w:val="0"/>
        </w:rPr>
        <w:t>一、收</w:t>
      </w:r>
      <w:r>
        <w:rPr>
          <w:rStyle w:val="20"/>
          <w:rFonts w:ascii="仿宋" w:eastAsia="仿宋" w:hAnsi="仿宋" w:hint="eastAsia"/>
        </w:rPr>
        <w:t>入支出决算总表</w:t>
      </w:r>
      <w:bookmarkEnd w:id="81"/>
      <w:bookmarkEnd w:id="82"/>
    </w:p>
    <w:p w:rsidR="00FD3477" w:rsidRDefault="00B3617E">
      <w:pPr>
        <w:pStyle w:val="2"/>
        <w:spacing w:before="0" w:after="0" w:line="640" w:lineRule="exact"/>
        <w:rPr>
          <w:rFonts w:ascii="仿宋" w:eastAsia="仿宋" w:hAnsi="仿宋"/>
        </w:rPr>
      </w:pPr>
      <w:bookmarkStart w:id="83" w:name="_Toc15396620"/>
      <w:bookmarkStart w:id="84" w:name="_Toc29922"/>
      <w:r>
        <w:rPr>
          <w:rFonts w:ascii="仿宋" w:eastAsia="仿宋" w:hAnsi="仿宋" w:hint="eastAsia"/>
          <w:b w:val="0"/>
        </w:rPr>
        <w:t>二、收</w:t>
      </w:r>
      <w:r>
        <w:rPr>
          <w:rStyle w:val="20"/>
          <w:rFonts w:ascii="仿宋" w:eastAsia="仿宋" w:hAnsi="仿宋" w:hint="eastAsia"/>
        </w:rPr>
        <w:t>入决算表</w:t>
      </w:r>
      <w:bookmarkEnd w:id="83"/>
      <w:bookmarkEnd w:id="84"/>
    </w:p>
    <w:p w:rsidR="00FD3477" w:rsidRDefault="00B3617E">
      <w:pPr>
        <w:pStyle w:val="2"/>
        <w:spacing w:before="0" w:after="0" w:line="640" w:lineRule="exact"/>
        <w:rPr>
          <w:rFonts w:ascii="仿宋" w:eastAsia="仿宋" w:hAnsi="仿宋"/>
        </w:rPr>
      </w:pPr>
      <w:bookmarkStart w:id="85" w:name="_Toc15396621"/>
      <w:bookmarkStart w:id="86" w:name="_Toc4659"/>
      <w:r>
        <w:rPr>
          <w:rStyle w:val="20"/>
          <w:rFonts w:ascii="仿宋" w:eastAsia="仿宋" w:hAnsi="仿宋" w:hint="eastAsia"/>
        </w:rPr>
        <w:t>三、</w:t>
      </w:r>
      <w:r>
        <w:rPr>
          <w:rFonts w:ascii="仿宋" w:eastAsia="仿宋" w:hAnsi="仿宋" w:hint="eastAsia"/>
          <w:b w:val="0"/>
        </w:rPr>
        <w:t>支</w:t>
      </w:r>
      <w:r>
        <w:rPr>
          <w:rStyle w:val="20"/>
          <w:rFonts w:ascii="仿宋" w:eastAsia="仿宋" w:hAnsi="仿宋" w:hint="eastAsia"/>
        </w:rPr>
        <w:t>出决算表</w:t>
      </w:r>
      <w:bookmarkEnd w:id="85"/>
      <w:bookmarkEnd w:id="86"/>
    </w:p>
    <w:p w:rsidR="00FD3477" w:rsidRDefault="00B3617E">
      <w:pPr>
        <w:pStyle w:val="2"/>
        <w:spacing w:before="0" w:after="0" w:line="640" w:lineRule="exact"/>
        <w:rPr>
          <w:rFonts w:ascii="仿宋" w:eastAsia="仿宋" w:hAnsi="仿宋"/>
          <w:b w:val="0"/>
        </w:rPr>
      </w:pPr>
      <w:bookmarkStart w:id="87" w:name="_Toc15396622"/>
      <w:bookmarkStart w:id="88" w:name="_Toc24070"/>
      <w:r>
        <w:rPr>
          <w:rStyle w:val="20"/>
          <w:rFonts w:ascii="仿宋" w:eastAsia="仿宋" w:hAnsi="仿宋" w:hint="eastAsia"/>
        </w:rPr>
        <w:t>四、</w:t>
      </w:r>
      <w:r>
        <w:rPr>
          <w:rFonts w:ascii="仿宋" w:eastAsia="仿宋" w:hAnsi="仿宋" w:hint="eastAsia"/>
          <w:b w:val="0"/>
        </w:rPr>
        <w:t>财</w:t>
      </w:r>
      <w:r>
        <w:rPr>
          <w:rStyle w:val="20"/>
          <w:rFonts w:ascii="仿宋" w:eastAsia="仿宋" w:hAnsi="仿宋" w:hint="eastAsia"/>
        </w:rPr>
        <w:t>政拨款收入支出决算总表</w:t>
      </w:r>
      <w:bookmarkEnd w:id="87"/>
      <w:bookmarkEnd w:id="88"/>
    </w:p>
    <w:p w:rsidR="00FD3477" w:rsidRDefault="00B3617E">
      <w:pPr>
        <w:pStyle w:val="2"/>
        <w:spacing w:before="0" w:after="0" w:line="640" w:lineRule="exact"/>
        <w:rPr>
          <w:rStyle w:val="20"/>
          <w:rFonts w:ascii="仿宋" w:eastAsia="仿宋" w:hAnsi="仿宋"/>
        </w:rPr>
      </w:pPr>
      <w:bookmarkStart w:id="89" w:name="_Toc15396623"/>
      <w:bookmarkStart w:id="90" w:name="_Toc22760"/>
      <w:r>
        <w:rPr>
          <w:rStyle w:val="20"/>
          <w:rFonts w:ascii="仿宋" w:eastAsia="仿宋" w:hAnsi="仿宋" w:hint="eastAsia"/>
        </w:rPr>
        <w:t>五、</w:t>
      </w:r>
      <w:r>
        <w:rPr>
          <w:rFonts w:ascii="仿宋" w:eastAsia="仿宋" w:hAnsi="仿宋" w:hint="eastAsia"/>
          <w:b w:val="0"/>
        </w:rPr>
        <w:t>财</w:t>
      </w:r>
      <w:r>
        <w:rPr>
          <w:rStyle w:val="20"/>
          <w:rFonts w:ascii="仿宋" w:eastAsia="仿宋" w:hAnsi="仿宋" w:hint="eastAsia"/>
        </w:rPr>
        <w:t>政拨款支出决算明细表</w:t>
      </w:r>
      <w:bookmarkStart w:id="91" w:name="_Toc15396624"/>
      <w:bookmarkEnd w:id="89"/>
      <w:bookmarkEnd w:id="90"/>
    </w:p>
    <w:p w:rsidR="00FD3477" w:rsidRDefault="00B3617E">
      <w:pPr>
        <w:pStyle w:val="2"/>
        <w:spacing w:before="0" w:after="0" w:line="640" w:lineRule="exact"/>
        <w:rPr>
          <w:rFonts w:ascii="仿宋" w:eastAsia="仿宋" w:hAnsi="仿宋"/>
        </w:rPr>
      </w:pPr>
      <w:bookmarkStart w:id="92" w:name="_Toc12320"/>
      <w:r>
        <w:rPr>
          <w:rStyle w:val="20"/>
          <w:rFonts w:ascii="仿宋" w:eastAsia="仿宋" w:hAnsi="仿宋" w:hint="eastAsia"/>
        </w:rPr>
        <w:t>六、</w:t>
      </w:r>
      <w:r>
        <w:rPr>
          <w:rFonts w:ascii="仿宋" w:eastAsia="仿宋" w:hAnsi="仿宋" w:hint="eastAsia"/>
          <w:b w:val="0"/>
        </w:rPr>
        <w:t>一</w:t>
      </w:r>
      <w:r>
        <w:rPr>
          <w:rStyle w:val="20"/>
          <w:rFonts w:ascii="仿宋" w:eastAsia="仿宋" w:hAnsi="仿宋" w:hint="eastAsia"/>
        </w:rPr>
        <w:t>般公共预算财政拨款支出决算表</w:t>
      </w:r>
      <w:bookmarkEnd w:id="91"/>
      <w:bookmarkEnd w:id="92"/>
    </w:p>
    <w:p w:rsidR="00FD3477" w:rsidRDefault="00B3617E">
      <w:pPr>
        <w:pStyle w:val="2"/>
        <w:spacing w:before="0" w:after="0" w:line="640" w:lineRule="exact"/>
        <w:rPr>
          <w:rFonts w:ascii="仿宋" w:eastAsia="仿宋" w:hAnsi="仿宋"/>
        </w:rPr>
      </w:pPr>
      <w:bookmarkStart w:id="93" w:name="_Toc15396625"/>
      <w:bookmarkStart w:id="94" w:name="_Toc27155"/>
      <w:r>
        <w:rPr>
          <w:rStyle w:val="20"/>
          <w:rFonts w:ascii="仿宋" w:eastAsia="仿宋" w:hAnsi="仿宋" w:hint="eastAsia"/>
        </w:rPr>
        <w:t>七、</w:t>
      </w:r>
      <w:r>
        <w:rPr>
          <w:rFonts w:ascii="仿宋" w:eastAsia="仿宋" w:hAnsi="仿宋" w:hint="eastAsia"/>
          <w:b w:val="0"/>
        </w:rPr>
        <w:t>一</w:t>
      </w:r>
      <w:r>
        <w:rPr>
          <w:rStyle w:val="20"/>
          <w:rFonts w:ascii="仿宋" w:eastAsia="仿宋" w:hAnsi="仿宋" w:hint="eastAsia"/>
        </w:rPr>
        <w:t>般公共预算财政拨款支出决算明细表</w:t>
      </w:r>
      <w:bookmarkEnd w:id="93"/>
      <w:bookmarkEnd w:id="94"/>
    </w:p>
    <w:p w:rsidR="00FD3477" w:rsidRDefault="00B3617E">
      <w:pPr>
        <w:pStyle w:val="2"/>
        <w:spacing w:before="0" w:after="0" w:line="640" w:lineRule="exact"/>
        <w:rPr>
          <w:rFonts w:ascii="仿宋" w:eastAsia="仿宋" w:hAnsi="仿宋"/>
        </w:rPr>
      </w:pPr>
      <w:bookmarkStart w:id="95" w:name="_Toc15396626"/>
      <w:bookmarkStart w:id="96" w:name="_Toc30677"/>
      <w:r>
        <w:rPr>
          <w:rStyle w:val="20"/>
          <w:rFonts w:ascii="仿宋" w:eastAsia="仿宋" w:hAnsi="仿宋" w:hint="eastAsia"/>
        </w:rPr>
        <w:t>八、</w:t>
      </w:r>
      <w:r>
        <w:rPr>
          <w:rFonts w:ascii="仿宋" w:eastAsia="仿宋" w:hAnsi="仿宋" w:hint="eastAsia"/>
          <w:b w:val="0"/>
        </w:rPr>
        <w:t>一</w:t>
      </w:r>
      <w:r>
        <w:rPr>
          <w:rStyle w:val="20"/>
          <w:rFonts w:ascii="仿宋" w:eastAsia="仿宋" w:hAnsi="仿宋" w:hint="eastAsia"/>
        </w:rPr>
        <w:t>般公共预算财政拨款基本支出决算表</w:t>
      </w:r>
      <w:bookmarkEnd w:id="95"/>
      <w:bookmarkEnd w:id="96"/>
    </w:p>
    <w:p w:rsidR="00FD3477" w:rsidRDefault="00B3617E">
      <w:pPr>
        <w:pStyle w:val="2"/>
        <w:spacing w:before="0" w:after="0" w:line="640" w:lineRule="exact"/>
        <w:rPr>
          <w:rFonts w:ascii="仿宋" w:eastAsia="仿宋" w:hAnsi="仿宋"/>
        </w:rPr>
      </w:pPr>
      <w:bookmarkStart w:id="97" w:name="_Toc15396627"/>
      <w:bookmarkStart w:id="98" w:name="_Toc27754"/>
      <w:r>
        <w:rPr>
          <w:rStyle w:val="20"/>
          <w:rFonts w:ascii="仿宋" w:eastAsia="仿宋" w:hAnsi="仿宋" w:hint="eastAsia"/>
        </w:rPr>
        <w:t>九、</w:t>
      </w:r>
      <w:r>
        <w:rPr>
          <w:rFonts w:ascii="仿宋" w:eastAsia="仿宋" w:hAnsi="仿宋" w:hint="eastAsia"/>
          <w:b w:val="0"/>
        </w:rPr>
        <w:t>一</w:t>
      </w:r>
      <w:r>
        <w:rPr>
          <w:rStyle w:val="20"/>
          <w:rFonts w:ascii="仿宋" w:eastAsia="仿宋" w:hAnsi="仿宋" w:hint="eastAsia"/>
        </w:rPr>
        <w:t>般公共预算财政拨款项目支出决算表</w:t>
      </w:r>
      <w:bookmarkEnd w:id="97"/>
      <w:bookmarkEnd w:id="98"/>
    </w:p>
    <w:p w:rsidR="00FD3477" w:rsidRDefault="00B3617E">
      <w:pPr>
        <w:pStyle w:val="2"/>
        <w:spacing w:before="0" w:after="0" w:line="640" w:lineRule="exact"/>
        <w:rPr>
          <w:rFonts w:ascii="仿宋" w:eastAsia="仿宋" w:hAnsi="仿宋"/>
        </w:rPr>
      </w:pPr>
      <w:bookmarkStart w:id="99" w:name="_Toc15396628"/>
      <w:bookmarkStart w:id="100" w:name="_Toc779"/>
      <w:r>
        <w:rPr>
          <w:rStyle w:val="20"/>
          <w:rFonts w:ascii="仿宋" w:eastAsia="仿宋" w:hAnsi="仿宋" w:hint="eastAsia"/>
        </w:rPr>
        <w:t>十、</w:t>
      </w:r>
      <w:r>
        <w:rPr>
          <w:rFonts w:ascii="仿宋" w:eastAsia="仿宋" w:hAnsi="仿宋" w:hint="eastAsia"/>
          <w:b w:val="0"/>
        </w:rPr>
        <w:t>一</w:t>
      </w:r>
      <w:r>
        <w:rPr>
          <w:rStyle w:val="20"/>
          <w:rFonts w:ascii="仿宋" w:eastAsia="仿宋" w:hAnsi="仿宋" w:hint="eastAsia"/>
        </w:rPr>
        <w:t>般公共预算财政拨款“三公”经费支出决算表</w:t>
      </w:r>
      <w:bookmarkEnd w:id="99"/>
      <w:bookmarkEnd w:id="100"/>
    </w:p>
    <w:p w:rsidR="00FD3477" w:rsidRDefault="00B3617E">
      <w:pPr>
        <w:pStyle w:val="2"/>
        <w:spacing w:before="0" w:after="0" w:line="640" w:lineRule="exact"/>
        <w:rPr>
          <w:rFonts w:ascii="仿宋" w:eastAsia="仿宋" w:hAnsi="仿宋"/>
        </w:rPr>
      </w:pPr>
      <w:bookmarkStart w:id="101" w:name="_Toc15396629"/>
      <w:bookmarkStart w:id="102" w:name="_Toc14394"/>
      <w:r>
        <w:rPr>
          <w:rStyle w:val="20"/>
          <w:rFonts w:ascii="仿宋" w:eastAsia="仿宋" w:hAnsi="仿宋" w:hint="eastAsia"/>
        </w:rPr>
        <w:t>十一、</w:t>
      </w:r>
      <w:r>
        <w:rPr>
          <w:rFonts w:ascii="仿宋" w:eastAsia="仿宋" w:hAnsi="仿宋" w:hint="eastAsia"/>
          <w:b w:val="0"/>
        </w:rPr>
        <w:t>政</w:t>
      </w:r>
      <w:r>
        <w:rPr>
          <w:rStyle w:val="20"/>
          <w:rFonts w:ascii="仿宋" w:eastAsia="仿宋" w:hAnsi="仿宋" w:hint="eastAsia"/>
        </w:rPr>
        <w:t>府性基金预算财政拨款收入支出决算表</w:t>
      </w:r>
      <w:bookmarkEnd w:id="101"/>
      <w:bookmarkEnd w:id="102"/>
    </w:p>
    <w:p w:rsidR="00FD3477" w:rsidRDefault="00B3617E">
      <w:pPr>
        <w:pStyle w:val="2"/>
        <w:spacing w:before="0" w:after="0" w:line="640" w:lineRule="exact"/>
        <w:rPr>
          <w:rFonts w:ascii="仿宋" w:eastAsia="仿宋" w:hAnsi="仿宋"/>
        </w:rPr>
      </w:pPr>
      <w:bookmarkStart w:id="103" w:name="_Toc15396630"/>
      <w:bookmarkStart w:id="104" w:name="_Toc27370"/>
      <w:r>
        <w:rPr>
          <w:rStyle w:val="20"/>
          <w:rFonts w:ascii="仿宋" w:eastAsia="仿宋" w:hAnsi="仿宋" w:hint="eastAsia"/>
        </w:rPr>
        <w:t>十二、</w:t>
      </w:r>
      <w:r>
        <w:rPr>
          <w:rFonts w:ascii="仿宋" w:eastAsia="仿宋" w:hAnsi="仿宋" w:hint="eastAsia"/>
          <w:b w:val="0"/>
        </w:rPr>
        <w:t>政</w:t>
      </w:r>
      <w:r>
        <w:rPr>
          <w:rStyle w:val="20"/>
          <w:rFonts w:ascii="仿宋" w:eastAsia="仿宋" w:hAnsi="仿宋" w:hint="eastAsia"/>
        </w:rPr>
        <w:t>府性基金预算财政拨款“三公”经费支出决算表</w:t>
      </w:r>
      <w:bookmarkEnd w:id="103"/>
      <w:bookmarkEnd w:id="104"/>
    </w:p>
    <w:p w:rsidR="00FD3477" w:rsidRDefault="00B3617E">
      <w:pPr>
        <w:pStyle w:val="2"/>
        <w:spacing w:before="0" w:after="0" w:line="640" w:lineRule="exact"/>
        <w:rPr>
          <w:rStyle w:val="20"/>
          <w:rFonts w:ascii="仿宋" w:eastAsia="仿宋" w:hAnsi="仿宋"/>
        </w:rPr>
      </w:pPr>
      <w:bookmarkStart w:id="105" w:name="_Toc15396631"/>
      <w:bookmarkStart w:id="106" w:name="_Toc25551"/>
      <w:r>
        <w:rPr>
          <w:rStyle w:val="20"/>
          <w:rFonts w:ascii="仿宋" w:eastAsia="仿宋" w:hAnsi="仿宋" w:hint="eastAsia"/>
        </w:rPr>
        <w:t>十三、</w:t>
      </w:r>
      <w:r>
        <w:rPr>
          <w:rFonts w:ascii="仿宋" w:eastAsia="仿宋" w:hAnsi="仿宋" w:hint="eastAsia"/>
          <w:b w:val="0"/>
        </w:rPr>
        <w:t>国</w:t>
      </w:r>
      <w:r>
        <w:rPr>
          <w:rStyle w:val="20"/>
          <w:rFonts w:ascii="仿宋" w:eastAsia="仿宋" w:hAnsi="仿宋" w:hint="eastAsia"/>
        </w:rPr>
        <w:t>有资本经营预算财政拨款收入支出决算表</w:t>
      </w:r>
      <w:bookmarkEnd w:id="105"/>
      <w:bookmarkEnd w:id="106"/>
    </w:p>
    <w:p w:rsidR="00FD3477" w:rsidRDefault="00B3617E">
      <w:pPr>
        <w:spacing w:line="640" w:lineRule="exact"/>
        <w:rPr>
          <w:rFonts w:eastAsia="仿宋"/>
        </w:rPr>
      </w:pPr>
      <w:bookmarkStart w:id="107" w:name="_Toc28465"/>
      <w:r>
        <w:rPr>
          <w:rStyle w:val="20"/>
          <w:rFonts w:ascii="仿宋" w:eastAsia="仿宋" w:hAnsi="仿宋" w:hint="eastAsia"/>
          <w:b w:val="0"/>
          <w:bCs w:val="0"/>
        </w:rPr>
        <w:t>十四、国有资本经营预算财政拨款支出决算表</w:t>
      </w:r>
      <w:bookmarkEnd w:id="107"/>
    </w:p>
    <w:sectPr w:rsidR="00FD3477">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17E" w:rsidRDefault="00B3617E">
      <w:r>
        <w:separator/>
      </w:r>
    </w:p>
  </w:endnote>
  <w:endnote w:type="continuationSeparator" w:id="0">
    <w:p w:rsidR="00B3617E" w:rsidRDefault="00B3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781956"/>
    </w:sdtPr>
    <w:sdtEndPr/>
    <w:sdtContent>
      <w:p w:rsidR="00FD3477" w:rsidRDefault="00B3617E">
        <w:pPr>
          <w:pStyle w:val="a7"/>
          <w:jc w:val="center"/>
        </w:pPr>
        <w:r>
          <w:fldChar w:fldCharType="begin"/>
        </w:r>
        <w:r>
          <w:instrText>PAGE   \* MERGEFORMAT</w:instrText>
        </w:r>
        <w:r>
          <w:fldChar w:fldCharType="separate"/>
        </w:r>
        <w:r>
          <w:rPr>
            <w:lang w:val="zh-CN"/>
          </w:rPr>
          <w:t>2</w:t>
        </w:r>
        <w:r>
          <w:rPr>
            <w:lang w:val="zh-CN"/>
          </w:rPr>
          <w:fldChar w:fldCharType="end"/>
        </w:r>
      </w:p>
    </w:sdtContent>
  </w:sdt>
  <w:p w:rsidR="00FD3477" w:rsidRDefault="00FD34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17E" w:rsidRDefault="00B3617E">
      <w:r>
        <w:separator/>
      </w:r>
    </w:p>
  </w:footnote>
  <w:footnote w:type="continuationSeparator" w:id="0">
    <w:p w:rsidR="00B3617E" w:rsidRDefault="00B36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477" w:rsidRDefault="00FD3477">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1" w15:restartNumberingAfterBreak="0">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15:restartNumberingAfterBreak="0">
    <w:nsid w:val="149B38AF"/>
    <w:multiLevelType w:val="multilevel"/>
    <w:tmpl w:val="149B38AF"/>
    <w:lvl w:ilvl="0">
      <w:start w:val="1"/>
      <w:numFmt w:val="bullet"/>
      <w:lvlText w:val=""/>
      <w:lvlJc w:val="left"/>
      <w:pPr>
        <w:ind w:left="1060" w:hanging="420"/>
      </w:pPr>
      <w:rPr>
        <w:rFonts w:ascii="Wingdings" w:hAnsi="Wingdings" w:hint="default"/>
      </w:rPr>
    </w:lvl>
    <w:lvl w:ilvl="1">
      <w:start w:val="1"/>
      <w:numFmt w:val="bullet"/>
      <w:lvlText w:val=""/>
      <w:lvlJc w:val="left"/>
      <w:pPr>
        <w:ind w:left="1480" w:hanging="420"/>
      </w:pPr>
      <w:rPr>
        <w:rFonts w:ascii="Wingdings" w:hAnsi="Wingdings" w:hint="default"/>
      </w:rPr>
    </w:lvl>
    <w:lvl w:ilvl="2">
      <w:start w:val="1"/>
      <w:numFmt w:val="bullet"/>
      <w:lvlText w:val=""/>
      <w:lvlJc w:val="left"/>
      <w:pPr>
        <w:ind w:left="1900" w:hanging="420"/>
      </w:pPr>
      <w:rPr>
        <w:rFonts w:ascii="Wingdings" w:hAnsi="Wingdings" w:hint="default"/>
      </w:rPr>
    </w:lvl>
    <w:lvl w:ilvl="3">
      <w:start w:val="1"/>
      <w:numFmt w:val="bullet"/>
      <w:lvlText w:val=""/>
      <w:lvlJc w:val="left"/>
      <w:pPr>
        <w:ind w:left="2320" w:hanging="420"/>
      </w:pPr>
      <w:rPr>
        <w:rFonts w:ascii="Wingdings" w:hAnsi="Wingdings" w:hint="default"/>
      </w:rPr>
    </w:lvl>
    <w:lvl w:ilvl="4">
      <w:start w:val="1"/>
      <w:numFmt w:val="bullet"/>
      <w:lvlText w:val=""/>
      <w:lvlJc w:val="left"/>
      <w:pPr>
        <w:ind w:left="2740" w:hanging="420"/>
      </w:pPr>
      <w:rPr>
        <w:rFonts w:ascii="Wingdings" w:hAnsi="Wingdings" w:hint="default"/>
      </w:rPr>
    </w:lvl>
    <w:lvl w:ilvl="5">
      <w:start w:val="1"/>
      <w:numFmt w:val="bullet"/>
      <w:lvlText w:val=""/>
      <w:lvlJc w:val="left"/>
      <w:pPr>
        <w:ind w:left="3160" w:hanging="420"/>
      </w:pPr>
      <w:rPr>
        <w:rFonts w:ascii="Wingdings" w:hAnsi="Wingdings" w:hint="default"/>
      </w:rPr>
    </w:lvl>
    <w:lvl w:ilvl="6">
      <w:start w:val="1"/>
      <w:numFmt w:val="bullet"/>
      <w:lvlText w:val=""/>
      <w:lvlJc w:val="left"/>
      <w:pPr>
        <w:ind w:left="3580" w:hanging="420"/>
      </w:pPr>
      <w:rPr>
        <w:rFonts w:ascii="Wingdings" w:hAnsi="Wingdings" w:hint="default"/>
      </w:rPr>
    </w:lvl>
    <w:lvl w:ilvl="7">
      <w:start w:val="1"/>
      <w:numFmt w:val="bullet"/>
      <w:lvlText w:val=""/>
      <w:lvlJc w:val="left"/>
      <w:pPr>
        <w:ind w:left="4000" w:hanging="420"/>
      </w:pPr>
      <w:rPr>
        <w:rFonts w:ascii="Wingdings" w:hAnsi="Wingdings" w:hint="default"/>
      </w:rPr>
    </w:lvl>
    <w:lvl w:ilvl="8">
      <w:start w:val="1"/>
      <w:numFmt w:val="bullet"/>
      <w:lvlText w:val=""/>
      <w:lvlJc w:val="left"/>
      <w:pPr>
        <w:ind w:left="442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1361C"/>
    <w:rsid w:val="9E3A10E2"/>
    <w:rsid w:val="F2E1F9D4"/>
    <w:rsid w:val="F7880819"/>
    <w:rsid w:val="0001744F"/>
    <w:rsid w:val="000222C6"/>
    <w:rsid w:val="0002549F"/>
    <w:rsid w:val="000302E8"/>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15E35"/>
    <w:rsid w:val="0014037F"/>
    <w:rsid w:val="00142216"/>
    <w:rsid w:val="00144D6A"/>
    <w:rsid w:val="0014729F"/>
    <w:rsid w:val="00157BAB"/>
    <w:rsid w:val="00160D0A"/>
    <w:rsid w:val="001654D1"/>
    <w:rsid w:val="00174518"/>
    <w:rsid w:val="0018106D"/>
    <w:rsid w:val="001877A7"/>
    <w:rsid w:val="00191536"/>
    <w:rsid w:val="00196687"/>
    <w:rsid w:val="001A1DA5"/>
    <w:rsid w:val="001C0962"/>
    <w:rsid w:val="001D7531"/>
    <w:rsid w:val="001E737D"/>
    <w:rsid w:val="001F0592"/>
    <w:rsid w:val="001F7506"/>
    <w:rsid w:val="002006CD"/>
    <w:rsid w:val="00202B36"/>
    <w:rsid w:val="00204B7A"/>
    <w:rsid w:val="00204CDE"/>
    <w:rsid w:val="0021101A"/>
    <w:rsid w:val="002178A9"/>
    <w:rsid w:val="00217A42"/>
    <w:rsid w:val="00220536"/>
    <w:rsid w:val="00223264"/>
    <w:rsid w:val="00235629"/>
    <w:rsid w:val="00235C4D"/>
    <w:rsid w:val="00251381"/>
    <w:rsid w:val="00260C38"/>
    <w:rsid w:val="002616C0"/>
    <w:rsid w:val="00263BC1"/>
    <w:rsid w:val="00263FCA"/>
    <w:rsid w:val="00265372"/>
    <w:rsid w:val="002662AA"/>
    <w:rsid w:val="00280496"/>
    <w:rsid w:val="00294DC9"/>
    <w:rsid w:val="00295495"/>
    <w:rsid w:val="002A31DE"/>
    <w:rsid w:val="002B2613"/>
    <w:rsid w:val="002C336E"/>
    <w:rsid w:val="002D2042"/>
    <w:rsid w:val="002D6D05"/>
    <w:rsid w:val="002F1818"/>
    <w:rsid w:val="002F567B"/>
    <w:rsid w:val="003216A9"/>
    <w:rsid w:val="00335A74"/>
    <w:rsid w:val="00345A55"/>
    <w:rsid w:val="0036561B"/>
    <w:rsid w:val="0037013F"/>
    <w:rsid w:val="0037521B"/>
    <w:rsid w:val="00380C92"/>
    <w:rsid w:val="003A484F"/>
    <w:rsid w:val="003A4883"/>
    <w:rsid w:val="003B0BE0"/>
    <w:rsid w:val="003B0C1B"/>
    <w:rsid w:val="003B688C"/>
    <w:rsid w:val="003C0291"/>
    <w:rsid w:val="003C39AE"/>
    <w:rsid w:val="003C7B60"/>
    <w:rsid w:val="003D0C0F"/>
    <w:rsid w:val="003D1FB2"/>
    <w:rsid w:val="003D66DA"/>
    <w:rsid w:val="003E1310"/>
    <w:rsid w:val="003E20DB"/>
    <w:rsid w:val="003E5329"/>
    <w:rsid w:val="003E6F55"/>
    <w:rsid w:val="00405248"/>
    <w:rsid w:val="00406254"/>
    <w:rsid w:val="00421B96"/>
    <w:rsid w:val="004223DE"/>
    <w:rsid w:val="00434489"/>
    <w:rsid w:val="00437085"/>
    <w:rsid w:val="00437DA1"/>
    <w:rsid w:val="00443880"/>
    <w:rsid w:val="004464F4"/>
    <w:rsid w:val="00453A7B"/>
    <w:rsid w:val="004601E1"/>
    <w:rsid w:val="00466E23"/>
    <w:rsid w:val="00471401"/>
    <w:rsid w:val="00473F31"/>
    <w:rsid w:val="0048263A"/>
    <w:rsid w:val="004853C0"/>
    <w:rsid w:val="00487E5D"/>
    <w:rsid w:val="004951DE"/>
    <w:rsid w:val="004A711F"/>
    <w:rsid w:val="004B199D"/>
    <w:rsid w:val="004B4690"/>
    <w:rsid w:val="004E0A2D"/>
    <w:rsid w:val="004E206B"/>
    <w:rsid w:val="004E6DF7"/>
    <w:rsid w:val="004F0FBD"/>
    <w:rsid w:val="004F3D91"/>
    <w:rsid w:val="00505A47"/>
    <w:rsid w:val="00512FDA"/>
    <w:rsid w:val="00520DA0"/>
    <w:rsid w:val="005310A3"/>
    <w:rsid w:val="005664BB"/>
    <w:rsid w:val="00566FFA"/>
    <w:rsid w:val="0057481D"/>
    <w:rsid w:val="0058486E"/>
    <w:rsid w:val="00585B33"/>
    <w:rsid w:val="0059014D"/>
    <w:rsid w:val="005A249B"/>
    <w:rsid w:val="005B5C64"/>
    <w:rsid w:val="005C5337"/>
    <w:rsid w:val="005C6BD0"/>
    <w:rsid w:val="005D1C8B"/>
    <w:rsid w:val="005D468D"/>
    <w:rsid w:val="005D5CED"/>
    <w:rsid w:val="005E1D6A"/>
    <w:rsid w:val="005F1A4C"/>
    <w:rsid w:val="005F2693"/>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0B96"/>
    <w:rsid w:val="006C1937"/>
    <w:rsid w:val="006D657B"/>
    <w:rsid w:val="006F020C"/>
    <w:rsid w:val="007127B7"/>
    <w:rsid w:val="0071798E"/>
    <w:rsid w:val="0072664D"/>
    <w:rsid w:val="007416B6"/>
    <w:rsid w:val="00745488"/>
    <w:rsid w:val="00746F48"/>
    <w:rsid w:val="0075404D"/>
    <w:rsid w:val="0076182A"/>
    <w:rsid w:val="007626F7"/>
    <w:rsid w:val="00767B7E"/>
    <w:rsid w:val="007770C3"/>
    <w:rsid w:val="00784D24"/>
    <w:rsid w:val="00785FBA"/>
    <w:rsid w:val="00786E4A"/>
    <w:rsid w:val="007875EB"/>
    <w:rsid w:val="0079426B"/>
    <w:rsid w:val="007A6F53"/>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94F23"/>
    <w:rsid w:val="00895F70"/>
    <w:rsid w:val="008B768C"/>
    <w:rsid w:val="008C422F"/>
    <w:rsid w:val="008C4DB1"/>
    <w:rsid w:val="008C4EAF"/>
    <w:rsid w:val="008C5176"/>
    <w:rsid w:val="008C7FD0"/>
    <w:rsid w:val="008D3B35"/>
    <w:rsid w:val="008E1DE7"/>
    <w:rsid w:val="008E707C"/>
    <w:rsid w:val="00900B08"/>
    <w:rsid w:val="00902155"/>
    <w:rsid w:val="00902FA3"/>
    <w:rsid w:val="00923564"/>
    <w:rsid w:val="0092392E"/>
    <w:rsid w:val="009315F9"/>
    <w:rsid w:val="00933499"/>
    <w:rsid w:val="00935C98"/>
    <w:rsid w:val="0094687C"/>
    <w:rsid w:val="00946945"/>
    <w:rsid w:val="00951248"/>
    <w:rsid w:val="0095152F"/>
    <w:rsid w:val="00954C49"/>
    <w:rsid w:val="00955E37"/>
    <w:rsid w:val="0097099F"/>
    <w:rsid w:val="00971997"/>
    <w:rsid w:val="00971FFC"/>
    <w:rsid w:val="00982520"/>
    <w:rsid w:val="0098660A"/>
    <w:rsid w:val="009931C3"/>
    <w:rsid w:val="009B2C43"/>
    <w:rsid w:val="009B4854"/>
    <w:rsid w:val="009B4EAE"/>
    <w:rsid w:val="009B7573"/>
    <w:rsid w:val="009C22F4"/>
    <w:rsid w:val="009C2A4B"/>
    <w:rsid w:val="009C2E98"/>
    <w:rsid w:val="009C2EBC"/>
    <w:rsid w:val="009D3447"/>
    <w:rsid w:val="009D4711"/>
    <w:rsid w:val="009E7782"/>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847CC"/>
    <w:rsid w:val="00A91760"/>
    <w:rsid w:val="00A935A0"/>
    <w:rsid w:val="00A93B00"/>
    <w:rsid w:val="00A93C21"/>
    <w:rsid w:val="00AB64C9"/>
    <w:rsid w:val="00AC3C6A"/>
    <w:rsid w:val="00AD3BF1"/>
    <w:rsid w:val="00AD5620"/>
    <w:rsid w:val="00AD656B"/>
    <w:rsid w:val="00AD7C1B"/>
    <w:rsid w:val="00AE16BA"/>
    <w:rsid w:val="00AE1EBE"/>
    <w:rsid w:val="00AF26DF"/>
    <w:rsid w:val="00B00C18"/>
    <w:rsid w:val="00B03C9D"/>
    <w:rsid w:val="00B060AE"/>
    <w:rsid w:val="00B10517"/>
    <w:rsid w:val="00B14E76"/>
    <w:rsid w:val="00B161B8"/>
    <w:rsid w:val="00B2048C"/>
    <w:rsid w:val="00B25656"/>
    <w:rsid w:val="00B310B9"/>
    <w:rsid w:val="00B33EE6"/>
    <w:rsid w:val="00B35F3F"/>
    <w:rsid w:val="00B3617E"/>
    <w:rsid w:val="00B36CBB"/>
    <w:rsid w:val="00B425E0"/>
    <w:rsid w:val="00B440AA"/>
    <w:rsid w:val="00B44B70"/>
    <w:rsid w:val="00B53C56"/>
    <w:rsid w:val="00B57DAF"/>
    <w:rsid w:val="00B60AA2"/>
    <w:rsid w:val="00B64664"/>
    <w:rsid w:val="00B72386"/>
    <w:rsid w:val="00B77EA6"/>
    <w:rsid w:val="00B81598"/>
    <w:rsid w:val="00B841F1"/>
    <w:rsid w:val="00B944D6"/>
    <w:rsid w:val="00BB4DF0"/>
    <w:rsid w:val="00BC289F"/>
    <w:rsid w:val="00BC2D50"/>
    <w:rsid w:val="00BC5361"/>
    <w:rsid w:val="00BC5460"/>
    <w:rsid w:val="00BC6852"/>
    <w:rsid w:val="00BC6B50"/>
    <w:rsid w:val="00BD0E25"/>
    <w:rsid w:val="00BD4FD0"/>
    <w:rsid w:val="00BF5BD6"/>
    <w:rsid w:val="00C03E31"/>
    <w:rsid w:val="00C12470"/>
    <w:rsid w:val="00C17ADB"/>
    <w:rsid w:val="00C33E72"/>
    <w:rsid w:val="00C354B2"/>
    <w:rsid w:val="00C35554"/>
    <w:rsid w:val="00C42709"/>
    <w:rsid w:val="00C533CC"/>
    <w:rsid w:val="00C5751C"/>
    <w:rsid w:val="00C577C0"/>
    <w:rsid w:val="00C61BFC"/>
    <w:rsid w:val="00C620ED"/>
    <w:rsid w:val="00C62B85"/>
    <w:rsid w:val="00C65438"/>
    <w:rsid w:val="00C87FD8"/>
    <w:rsid w:val="00C91381"/>
    <w:rsid w:val="00C91CBB"/>
    <w:rsid w:val="00CB4E70"/>
    <w:rsid w:val="00CC09B6"/>
    <w:rsid w:val="00CC666F"/>
    <w:rsid w:val="00CD1E3F"/>
    <w:rsid w:val="00CE44F6"/>
    <w:rsid w:val="00CE49DA"/>
    <w:rsid w:val="00CE6EE0"/>
    <w:rsid w:val="00CE7B61"/>
    <w:rsid w:val="00D00095"/>
    <w:rsid w:val="00D114F0"/>
    <w:rsid w:val="00D138C3"/>
    <w:rsid w:val="00D20620"/>
    <w:rsid w:val="00D254F7"/>
    <w:rsid w:val="00D26091"/>
    <w:rsid w:val="00D2685C"/>
    <w:rsid w:val="00D34E7C"/>
    <w:rsid w:val="00D35489"/>
    <w:rsid w:val="00D36AFE"/>
    <w:rsid w:val="00D51276"/>
    <w:rsid w:val="00D51411"/>
    <w:rsid w:val="00D55175"/>
    <w:rsid w:val="00D7035F"/>
    <w:rsid w:val="00D833E2"/>
    <w:rsid w:val="00DA634F"/>
    <w:rsid w:val="00DA65AC"/>
    <w:rsid w:val="00DB1913"/>
    <w:rsid w:val="00DC4011"/>
    <w:rsid w:val="00DC410D"/>
    <w:rsid w:val="00DC5A81"/>
    <w:rsid w:val="00DC68CA"/>
    <w:rsid w:val="00DC7CBA"/>
    <w:rsid w:val="00DC7F58"/>
    <w:rsid w:val="00DD73B7"/>
    <w:rsid w:val="00DD7BE1"/>
    <w:rsid w:val="00DE7A79"/>
    <w:rsid w:val="00DF28BC"/>
    <w:rsid w:val="00DF34B9"/>
    <w:rsid w:val="00E01053"/>
    <w:rsid w:val="00E07ACF"/>
    <w:rsid w:val="00E331A1"/>
    <w:rsid w:val="00E33202"/>
    <w:rsid w:val="00E336A9"/>
    <w:rsid w:val="00E472B1"/>
    <w:rsid w:val="00E50624"/>
    <w:rsid w:val="00E568DF"/>
    <w:rsid w:val="00E62756"/>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076DB"/>
    <w:rsid w:val="00F1361C"/>
    <w:rsid w:val="00F156F0"/>
    <w:rsid w:val="00F160C7"/>
    <w:rsid w:val="00F2408F"/>
    <w:rsid w:val="00F240E9"/>
    <w:rsid w:val="00F36D8F"/>
    <w:rsid w:val="00F417B1"/>
    <w:rsid w:val="00F424D0"/>
    <w:rsid w:val="00F45853"/>
    <w:rsid w:val="00F602DF"/>
    <w:rsid w:val="00F61D32"/>
    <w:rsid w:val="00F7295C"/>
    <w:rsid w:val="00F754A1"/>
    <w:rsid w:val="00F81FD9"/>
    <w:rsid w:val="00F841AA"/>
    <w:rsid w:val="00F84A94"/>
    <w:rsid w:val="00F87E96"/>
    <w:rsid w:val="00FA23E8"/>
    <w:rsid w:val="00FC7116"/>
    <w:rsid w:val="00FD3477"/>
    <w:rsid w:val="00FD3CC1"/>
    <w:rsid w:val="00FE7DDD"/>
    <w:rsid w:val="00FF1E02"/>
    <w:rsid w:val="00FF30B4"/>
    <w:rsid w:val="06756C6E"/>
    <w:rsid w:val="0A2032A3"/>
    <w:rsid w:val="0B8A37D8"/>
    <w:rsid w:val="10C055FF"/>
    <w:rsid w:val="118107EC"/>
    <w:rsid w:val="11DD6519"/>
    <w:rsid w:val="16BB723D"/>
    <w:rsid w:val="18015F3F"/>
    <w:rsid w:val="1BE8440E"/>
    <w:rsid w:val="1D155CEE"/>
    <w:rsid w:val="20F57F95"/>
    <w:rsid w:val="240371BF"/>
    <w:rsid w:val="25C741E6"/>
    <w:rsid w:val="27842671"/>
    <w:rsid w:val="29FD04D3"/>
    <w:rsid w:val="2ABE7A3E"/>
    <w:rsid w:val="2EFA178C"/>
    <w:rsid w:val="30B46D73"/>
    <w:rsid w:val="319F7F4E"/>
    <w:rsid w:val="39AE70AB"/>
    <w:rsid w:val="3C0C0783"/>
    <w:rsid w:val="3F9F3A96"/>
    <w:rsid w:val="493C27E9"/>
    <w:rsid w:val="496F39ED"/>
    <w:rsid w:val="49FF41D3"/>
    <w:rsid w:val="4BE068DB"/>
    <w:rsid w:val="4BF6002B"/>
    <w:rsid w:val="4ECE2238"/>
    <w:rsid w:val="51DB4B86"/>
    <w:rsid w:val="55333C3E"/>
    <w:rsid w:val="64CA39A1"/>
    <w:rsid w:val="6C4A05C8"/>
    <w:rsid w:val="72734D90"/>
    <w:rsid w:val="79E7B28D"/>
    <w:rsid w:val="7F9F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17FE782A"/>
  <w15:docId w15:val="{4E057ACC-2331-4B7A-B07E-83A44B9E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beforeLines="30"/>
    </w:pPr>
    <w:rPr>
      <w:rFonts w:ascii="仿宋_GB2312" w:eastAsia="仿宋_GB2312"/>
      <w:kern w:val="0"/>
      <w:sz w:val="30"/>
    </w:rPr>
  </w:style>
  <w:style w:type="paragraph" w:styleId="TOC3">
    <w:name w:val="toc 3"/>
    <w:basedOn w:val="a"/>
    <w:next w:val="a"/>
    <w:uiPriority w:val="39"/>
    <w:unhideWhenUsed/>
    <w:qFormat/>
    <w:pPr>
      <w:tabs>
        <w:tab w:val="right" w:leader="dot" w:pos="8296"/>
      </w:tabs>
      <w:ind w:leftChars="400" w:left="84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TOC2">
    <w:name w:val="toc 2"/>
    <w:basedOn w:val="a"/>
    <w:next w:val="a"/>
    <w:uiPriority w:val="39"/>
    <w:unhideWhenUsed/>
    <w:qFormat/>
    <w:pPr>
      <w:tabs>
        <w:tab w:val="right" w:leader="dot" w:pos="8296"/>
      </w:tabs>
      <w:ind w:leftChars="200" w:left="420"/>
    </w:pPr>
  </w:style>
  <w:style w:type="character" w:styleId="ab">
    <w:name w:val="Strong"/>
    <w:basedOn w:val="a1"/>
    <w:uiPriority w:val="99"/>
    <w:qFormat/>
    <w:rPr>
      <w:b/>
    </w:rPr>
  </w:style>
  <w:style w:type="character" w:styleId="ac">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aa">
    <w:name w:val="页眉 字符"/>
    <w:link w:val="a9"/>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a8">
    <w:name w:val="页脚 字符"/>
    <w:link w:val="a7"/>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a4">
    <w:name w:val="正文文本 字符"/>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d">
    <w:name w:val="List Paragraph"/>
    <w:basedOn w:val="a"/>
    <w:uiPriority w:val="34"/>
    <w:qFormat/>
    <w:pPr>
      <w:ind w:firstLineChars="200" w:firstLine="420"/>
    </w:pPr>
  </w:style>
  <w:style w:type="character" w:customStyle="1" w:styleId="10">
    <w:name w:val="标题 1 字符"/>
    <w:basedOn w:val="a1"/>
    <w:link w:val="1"/>
    <w:uiPriority w:val="9"/>
    <w:qFormat/>
    <w:rPr>
      <w:rFonts w:ascii="Times New Roman" w:hAnsi="Times New Roman"/>
      <w:b/>
      <w:bCs/>
      <w:kern w:val="44"/>
      <w:sz w:val="44"/>
      <w:szCs w:val="44"/>
    </w:rPr>
  </w:style>
  <w:style w:type="character" w:customStyle="1" w:styleId="20">
    <w:name w:val="标题 2 字符"/>
    <w:basedOn w:val="a1"/>
    <w:link w:val="2"/>
    <w:uiPriority w:val="9"/>
    <w:qFormat/>
    <w:rPr>
      <w:rFonts w:asciiTheme="majorHAnsi" w:eastAsiaTheme="majorEastAsia" w:hAnsiTheme="majorHAnsi" w:cstheme="majorBidi"/>
      <w:b/>
      <w:bCs/>
      <w:kern w:val="2"/>
      <w:sz w:val="32"/>
      <w:szCs w:val="32"/>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1"/>
    <w:link w:val="a5"/>
    <w:uiPriority w:val="99"/>
    <w:semiHidden/>
    <w:qFormat/>
    <w:rPr>
      <w:rFonts w:ascii="Times New Roman" w:hAnsi="Times New Roman"/>
      <w:kern w:val="2"/>
      <w:sz w:val="18"/>
      <w:szCs w:val="18"/>
    </w:rPr>
  </w:style>
  <w:style w:type="character" w:customStyle="1" w:styleId="30">
    <w:name w:val="标题 3 字符"/>
    <w:basedOn w:val="a1"/>
    <w:link w:val="3"/>
    <w:uiPriority w:val="9"/>
    <w:qFormat/>
    <w:rPr>
      <w:rFonts w:ascii="Times New Roman" w:hAnsi="Times New Roman"/>
      <w:b/>
      <w:bCs/>
      <w:kern w:val="2"/>
      <w:sz w:val="32"/>
      <w:szCs w:val="32"/>
    </w:rPr>
  </w:style>
  <w:style w:type="paragraph" w:customStyle="1" w:styleId="TOC20">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WPSOffice1">
    <w:name w:val="WPSOffice手动目录 1"/>
  </w:style>
  <w:style w:type="paragraph" w:customStyle="1" w:styleId="WPSOffice2">
    <w:name w:val="WPSOffice手动目录 2"/>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Book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Book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Sheet2!$A$1:$D$1</c:f>
              <c:strCache>
                <c:ptCount val="4"/>
                <c:pt idx="0">
                  <c:v>本年收入</c:v>
                </c:pt>
                <c:pt idx="1">
                  <c:v>本年支出</c:v>
                </c:pt>
                <c:pt idx="2">
                  <c:v>上年收入</c:v>
                </c:pt>
                <c:pt idx="3">
                  <c:v>上年支出</c:v>
                </c:pt>
              </c:strCache>
            </c:strRef>
          </c:cat>
          <c:val>
            <c:numRef>
              <c:f>Sheet2!$A$2:$D$2</c:f>
              <c:numCache>
                <c:formatCode>General</c:formatCode>
                <c:ptCount val="4"/>
                <c:pt idx="0">
                  <c:v>338.83</c:v>
                </c:pt>
                <c:pt idx="1">
                  <c:v>338.83</c:v>
                </c:pt>
                <c:pt idx="2">
                  <c:v>332.76</c:v>
                </c:pt>
                <c:pt idx="3">
                  <c:v>332.76</c:v>
                </c:pt>
              </c:numCache>
            </c:numRef>
          </c:val>
          <c:extLst>
            <c:ext xmlns:c16="http://schemas.microsoft.com/office/drawing/2014/chart" uri="{C3380CC4-5D6E-409C-BE32-E72D297353CC}">
              <c16:uniqueId val="{00000000-592D-4015-BB5B-C085E2C39E87}"/>
            </c:ext>
          </c:extLst>
        </c:ser>
        <c:dLbls>
          <c:showLegendKey val="0"/>
          <c:showVal val="1"/>
          <c:showCatName val="0"/>
          <c:showSerName val="0"/>
          <c:showPercent val="0"/>
          <c:showBubbleSize val="0"/>
        </c:dLbls>
        <c:gapWidth val="150"/>
        <c:overlap val="100"/>
        <c:axId val="67200128"/>
        <c:axId val="67248128"/>
      </c:barChart>
      <c:catAx>
        <c:axId val="6720012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67248128"/>
        <c:crosses val="autoZero"/>
        <c:auto val="1"/>
        <c:lblAlgn val="ctr"/>
        <c:lblOffset val="100"/>
        <c:noMultiLvlLbl val="0"/>
      </c:catAx>
      <c:valAx>
        <c:axId val="6724812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67200128"/>
        <c:crosses val="autoZero"/>
        <c:crossBetween val="between"/>
      </c:valAx>
      <c:spPr>
        <a:solidFill>
          <a:schemeClr val="bg1"/>
        </a:solidFill>
        <a:ln>
          <a:noFill/>
        </a:ln>
        <a:effectLst/>
      </c:spPr>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dPt>
            <c:idx val="0"/>
            <c:bubble3D val="0"/>
            <c:extLst>
              <c:ext xmlns:c16="http://schemas.microsoft.com/office/drawing/2014/chart" uri="{C3380CC4-5D6E-409C-BE32-E72D297353CC}">
                <c16:uniqueId val="{00000000-E227-4CB6-AF92-F505B08F4642}"/>
              </c:ext>
            </c:extLst>
          </c:dPt>
          <c:dPt>
            <c:idx val="1"/>
            <c:bubble3D val="0"/>
            <c:extLst>
              <c:ext xmlns:c16="http://schemas.microsoft.com/office/drawing/2014/chart" uri="{C3380CC4-5D6E-409C-BE32-E72D297353CC}">
                <c16:uniqueId val="{00000001-E227-4CB6-AF92-F505B08F4642}"/>
              </c:ext>
            </c:extLst>
          </c:dPt>
          <c:dLbls>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Sheet2!$A$30:$A$31</c:f>
              <c:strCache>
                <c:ptCount val="2"/>
                <c:pt idx="0">
                  <c:v>一般公共预算财政拨款收入</c:v>
                </c:pt>
                <c:pt idx="1">
                  <c:v>其他收入</c:v>
                </c:pt>
              </c:strCache>
            </c:strRef>
          </c:cat>
          <c:val>
            <c:numRef>
              <c:f>Sheet2!$B$30:$B$31</c:f>
              <c:numCache>
                <c:formatCode>General</c:formatCode>
                <c:ptCount val="2"/>
                <c:pt idx="0" formatCode="#,##0.00">
                  <c:v>336.13</c:v>
                </c:pt>
                <c:pt idx="1">
                  <c:v>2.7</c:v>
                </c:pt>
              </c:numCache>
            </c:numRef>
          </c:val>
          <c:extLst>
            <c:ext xmlns:c16="http://schemas.microsoft.com/office/drawing/2014/chart" uri="{C3380CC4-5D6E-409C-BE32-E72D297353CC}">
              <c16:uniqueId val="{00000002-E227-4CB6-AF92-F505B08F4642}"/>
            </c:ext>
          </c:extLst>
        </c:ser>
        <c:dLbls>
          <c:showLegendKey val="0"/>
          <c:showVal val="1"/>
          <c:showCatName val="1"/>
          <c:showSerName val="0"/>
          <c:showPercent val="1"/>
          <c:showBubbleSize val="0"/>
          <c:showLeaderLines val="1"/>
        </c:dLbls>
        <c:firstSliceAng val="15"/>
      </c:pieChart>
      <c:spPr>
        <a:noFill/>
        <a:ln>
          <a:noFill/>
        </a:ln>
        <a:effectLst/>
      </c:spPr>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dPt>
            <c:idx val="0"/>
            <c:bubble3D val="0"/>
            <c:extLst>
              <c:ext xmlns:c16="http://schemas.microsoft.com/office/drawing/2014/chart" uri="{C3380CC4-5D6E-409C-BE32-E72D297353CC}">
                <c16:uniqueId val="{00000000-DE31-4EC6-B580-811E8B6E9D5F}"/>
              </c:ext>
            </c:extLst>
          </c:dPt>
          <c:dPt>
            <c:idx val="1"/>
            <c:bubble3D val="0"/>
            <c:extLst>
              <c:ext xmlns:c16="http://schemas.microsoft.com/office/drawing/2014/chart" uri="{C3380CC4-5D6E-409C-BE32-E72D297353CC}">
                <c16:uniqueId val="{00000001-DE31-4EC6-B580-811E8B6E9D5F}"/>
              </c:ext>
            </c:extLst>
          </c:dPt>
          <c:dLbls>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Sheet3!$A$1:$B$1</c:f>
              <c:strCache>
                <c:ptCount val="2"/>
                <c:pt idx="0">
                  <c:v>基本支出</c:v>
                </c:pt>
                <c:pt idx="1">
                  <c:v>项目支出</c:v>
                </c:pt>
              </c:strCache>
            </c:strRef>
          </c:cat>
          <c:val>
            <c:numRef>
              <c:f>Sheet3!$A$2:$B$2</c:f>
              <c:numCache>
                <c:formatCode>#,##0.00</c:formatCode>
                <c:ptCount val="2"/>
                <c:pt idx="0">
                  <c:v>318.43</c:v>
                </c:pt>
                <c:pt idx="1">
                  <c:v>20.399999999999999</c:v>
                </c:pt>
              </c:numCache>
            </c:numRef>
          </c:val>
          <c:extLst>
            <c:ext xmlns:c16="http://schemas.microsoft.com/office/drawing/2014/chart" uri="{C3380CC4-5D6E-409C-BE32-E72D297353CC}">
              <c16:uniqueId val="{00000002-DE31-4EC6-B580-811E8B6E9D5F}"/>
            </c:ext>
          </c:extLst>
        </c:ser>
        <c:dLbls>
          <c:showLegendKey val="0"/>
          <c:showVal val="1"/>
          <c:showCatName val="1"/>
          <c:showSerName val="0"/>
          <c:showPercent val="1"/>
          <c:showBubbleSize val="0"/>
          <c:showLeaderLines val="1"/>
        </c:dLbls>
        <c:firstSliceAng val="15"/>
      </c:pieChart>
      <c:spPr>
        <a:noFill/>
        <a:ln>
          <a:noFill/>
        </a:ln>
        <a:effectLst/>
      </c:spPr>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Sheet3!$A$9</c:f>
              <c:strCache>
                <c:ptCount val="1"/>
                <c:pt idx="0">
                  <c:v>财政拨款收入</c:v>
                </c:pt>
              </c:strCache>
            </c:strRef>
          </c:tx>
          <c:invertIfNegative val="0"/>
          <c:dLbls>
            <c:dLbl>
              <c:idx val="0"/>
              <c:layout>
                <c:manualLayout>
                  <c:x val="-3.05555555555556E-2"/>
                  <c:y val="-8.0321285140562207E-3"/>
                </c:manualLayout>
              </c:layout>
              <c:dLblPos val="outEnd"/>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99F2-4868-8222-C6CE17392170}"/>
                </c:ext>
              </c:extLst>
            </c:dLbl>
            <c:dLbl>
              <c:idx val="1"/>
              <c:layout>
                <c:manualLayout>
                  <c:x val="-2.7777777777777901E-2"/>
                  <c:y val="-1.20481927710843E-2"/>
                </c:manualLayout>
              </c:layout>
              <c:dLblPos val="outEnd"/>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99F2-4868-8222-C6CE17392170}"/>
                </c:ext>
              </c:extLst>
            </c:dLbl>
            <c:numFmt formatCode="0.00_);\(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Sheet3!$B$8:$C$8</c:f>
              <c:strCache>
                <c:ptCount val="2"/>
                <c:pt idx="0">
                  <c:v>2021年</c:v>
                </c:pt>
                <c:pt idx="1">
                  <c:v>2020年</c:v>
                </c:pt>
              </c:strCache>
            </c:strRef>
          </c:cat>
          <c:val>
            <c:numRef>
              <c:f>Sheet3!$B$9:$C$9</c:f>
              <c:numCache>
                <c:formatCode>General</c:formatCode>
                <c:ptCount val="2"/>
                <c:pt idx="0" formatCode="#,##0.00">
                  <c:v>336.13</c:v>
                </c:pt>
                <c:pt idx="1">
                  <c:v>332.76</c:v>
                </c:pt>
              </c:numCache>
            </c:numRef>
          </c:val>
          <c:extLst>
            <c:ext xmlns:c16="http://schemas.microsoft.com/office/drawing/2014/chart" uri="{C3380CC4-5D6E-409C-BE32-E72D297353CC}">
              <c16:uniqueId val="{00000002-99F2-4868-8222-C6CE17392170}"/>
            </c:ext>
          </c:extLst>
        </c:ser>
        <c:ser>
          <c:idx val="1"/>
          <c:order val="1"/>
          <c:tx>
            <c:strRef>
              <c:f>Sheet3!$A$10</c:f>
              <c:strCache>
                <c:ptCount val="1"/>
                <c:pt idx="0">
                  <c:v>财政拨款支出</c:v>
                </c:pt>
              </c:strCache>
            </c:strRef>
          </c:tx>
          <c:invertIfNegative val="0"/>
          <c:dLbls>
            <c:dLbl>
              <c:idx val="0"/>
              <c:layout>
                <c:manualLayout>
                  <c:x val="8.88888888888891E-2"/>
                  <c:y val="-8.0324447395883104E-3"/>
                </c:manualLayout>
              </c:layout>
              <c:dLblPos val="outEnd"/>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99F2-4868-8222-C6CE17392170}"/>
                </c:ext>
              </c:extLst>
            </c:dLbl>
            <c:dLbl>
              <c:idx val="1"/>
              <c:layout>
                <c:manualLayout>
                  <c:x val="8.0555555555555797E-2"/>
                  <c:y val="8.0321285140562207E-3"/>
                </c:manualLayout>
              </c:layout>
              <c:dLblPos val="outEnd"/>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99F2-4868-8222-C6CE17392170}"/>
                </c:ext>
              </c:extLst>
            </c:dLbl>
            <c:numFmt formatCode="0.00_);\(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Sheet3!$B$8:$C$8</c:f>
              <c:strCache>
                <c:ptCount val="2"/>
                <c:pt idx="0">
                  <c:v>2021年</c:v>
                </c:pt>
                <c:pt idx="1">
                  <c:v>2020年</c:v>
                </c:pt>
              </c:strCache>
            </c:strRef>
          </c:cat>
          <c:val>
            <c:numRef>
              <c:f>Sheet3!$B$10:$C$10</c:f>
              <c:numCache>
                <c:formatCode>General</c:formatCode>
                <c:ptCount val="2"/>
                <c:pt idx="0" formatCode="#,##0.00">
                  <c:v>336.13</c:v>
                </c:pt>
                <c:pt idx="1">
                  <c:v>332.76</c:v>
                </c:pt>
              </c:numCache>
            </c:numRef>
          </c:val>
          <c:extLst>
            <c:ext xmlns:c16="http://schemas.microsoft.com/office/drawing/2014/chart" uri="{C3380CC4-5D6E-409C-BE32-E72D297353CC}">
              <c16:uniqueId val="{00000005-99F2-4868-8222-C6CE17392170}"/>
            </c:ext>
          </c:extLst>
        </c:ser>
        <c:dLbls>
          <c:showLegendKey val="0"/>
          <c:showVal val="1"/>
          <c:showCatName val="0"/>
          <c:showSerName val="1"/>
          <c:showPercent val="0"/>
          <c:showBubbleSize val="0"/>
        </c:dLbls>
        <c:gapWidth val="150"/>
        <c:axId val="70856064"/>
        <c:axId val="79342208"/>
      </c:barChart>
      <c:catAx>
        <c:axId val="70856064"/>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79342208"/>
        <c:crosses val="autoZero"/>
        <c:auto val="1"/>
        <c:lblAlgn val="ctr"/>
        <c:lblOffset val="100"/>
        <c:noMultiLvlLbl val="0"/>
      </c:catAx>
      <c:valAx>
        <c:axId val="79342208"/>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70856064"/>
        <c:crosses val="autoZero"/>
        <c:crossBetween val="between"/>
      </c:valAx>
      <c:spPr>
        <a:solidFill>
          <a:schemeClr val="bg1"/>
        </a:solidFill>
        <a:ln>
          <a:noFill/>
        </a:ln>
        <a:effectLst/>
      </c:spPr>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Sheet1!$A$1:$B$1</c:f>
              <c:strCache>
                <c:ptCount val="2"/>
                <c:pt idx="0">
                  <c:v>2021年</c:v>
                </c:pt>
                <c:pt idx="1">
                  <c:v>2020年</c:v>
                </c:pt>
              </c:strCache>
            </c:strRef>
          </c:cat>
          <c:val>
            <c:numRef>
              <c:f>Sheet1!$A$2:$B$2</c:f>
              <c:numCache>
                <c:formatCode>General</c:formatCode>
                <c:ptCount val="2"/>
                <c:pt idx="0">
                  <c:v>336.13</c:v>
                </c:pt>
                <c:pt idx="1">
                  <c:v>332.76</c:v>
                </c:pt>
              </c:numCache>
            </c:numRef>
          </c:val>
          <c:extLst>
            <c:ext xmlns:c16="http://schemas.microsoft.com/office/drawing/2014/chart" uri="{C3380CC4-5D6E-409C-BE32-E72D297353CC}">
              <c16:uniqueId val="{00000000-ED9F-47BE-9890-A05B258098F7}"/>
            </c:ext>
          </c:extLst>
        </c:ser>
        <c:dLbls>
          <c:showLegendKey val="0"/>
          <c:showVal val="1"/>
          <c:showCatName val="0"/>
          <c:showSerName val="0"/>
          <c:showPercent val="0"/>
          <c:showBubbleSize val="0"/>
        </c:dLbls>
        <c:gapWidth val="150"/>
        <c:overlap val="100"/>
        <c:axId val="90341760"/>
        <c:axId val="90343296"/>
      </c:barChart>
      <c:catAx>
        <c:axId val="9034176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90343296"/>
        <c:crosses val="autoZero"/>
        <c:auto val="1"/>
        <c:lblAlgn val="ctr"/>
        <c:lblOffset val="100"/>
        <c:noMultiLvlLbl val="0"/>
      </c:catAx>
      <c:valAx>
        <c:axId val="90343296"/>
        <c:scaling>
          <c:orientation val="minMax"/>
        </c:scaling>
        <c:delete val="0"/>
        <c:axPos val="l"/>
        <c:majorGridlines/>
        <c:numFmt formatCode="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90341760"/>
        <c:crosses val="autoZero"/>
        <c:crossBetween val="between"/>
      </c:valAx>
      <c:spPr>
        <a:solidFill>
          <a:schemeClr val="bg1"/>
        </a:solidFill>
        <a:ln>
          <a:noFill/>
        </a:ln>
        <a:effectLst/>
      </c:spPr>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dPt>
            <c:idx val="0"/>
            <c:bubble3D val="0"/>
            <c:extLst>
              <c:ext xmlns:c16="http://schemas.microsoft.com/office/drawing/2014/chart" uri="{C3380CC4-5D6E-409C-BE32-E72D297353CC}">
                <c16:uniqueId val="{00000000-56F5-4EB7-8730-C95A30CC2F5A}"/>
              </c:ext>
            </c:extLst>
          </c:dPt>
          <c:dPt>
            <c:idx val="1"/>
            <c:bubble3D val="0"/>
            <c:extLst>
              <c:ext xmlns:c16="http://schemas.microsoft.com/office/drawing/2014/chart" uri="{C3380CC4-5D6E-409C-BE32-E72D297353CC}">
                <c16:uniqueId val="{00000001-56F5-4EB7-8730-C95A30CC2F5A}"/>
              </c:ext>
            </c:extLst>
          </c:dPt>
          <c:dPt>
            <c:idx val="2"/>
            <c:bubble3D val="0"/>
            <c:extLst>
              <c:ext xmlns:c16="http://schemas.microsoft.com/office/drawing/2014/chart" uri="{C3380CC4-5D6E-409C-BE32-E72D297353CC}">
                <c16:uniqueId val="{00000002-56F5-4EB7-8730-C95A30CC2F5A}"/>
              </c:ext>
            </c:extLst>
          </c:dPt>
          <c:dPt>
            <c:idx val="3"/>
            <c:bubble3D val="0"/>
            <c:extLst>
              <c:ext xmlns:c16="http://schemas.microsoft.com/office/drawing/2014/chart" uri="{C3380CC4-5D6E-409C-BE32-E72D297353CC}">
                <c16:uniqueId val="{00000003-56F5-4EB7-8730-C95A30CC2F5A}"/>
              </c:ext>
            </c:extLst>
          </c:dPt>
          <c:dPt>
            <c:idx val="4"/>
            <c:bubble3D val="0"/>
            <c:extLst>
              <c:ext xmlns:c16="http://schemas.microsoft.com/office/drawing/2014/chart" uri="{C3380CC4-5D6E-409C-BE32-E72D297353CC}">
                <c16:uniqueId val="{00000004-56F5-4EB7-8730-C95A30CC2F5A}"/>
              </c:ext>
            </c:extLst>
          </c:dPt>
          <c:dLbls>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Sheet5!$A$1:$A$5</c:f>
              <c:strCache>
                <c:ptCount val="5"/>
                <c:pt idx="0">
                  <c:v>一般公共服务支出</c:v>
                </c:pt>
                <c:pt idx="1">
                  <c:v>社会保障和就业支出</c:v>
                </c:pt>
                <c:pt idx="2">
                  <c:v>卫生健康支出</c:v>
                </c:pt>
                <c:pt idx="3">
                  <c:v>农林水支出</c:v>
                </c:pt>
                <c:pt idx="4">
                  <c:v>住房保障支出</c:v>
                </c:pt>
              </c:strCache>
            </c:strRef>
          </c:cat>
          <c:val>
            <c:numRef>
              <c:f>Sheet5!$B$1:$B$5</c:f>
              <c:numCache>
                <c:formatCode>#,##0.00</c:formatCode>
                <c:ptCount val="5"/>
                <c:pt idx="0">
                  <c:v>2</c:v>
                </c:pt>
                <c:pt idx="1">
                  <c:v>38.200000000000003</c:v>
                </c:pt>
                <c:pt idx="2">
                  <c:v>15.96</c:v>
                </c:pt>
                <c:pt idx="3">
                  <c:v>261.41000000000003</c:v>
                </c:pt>
                <c:pt idx="4">
                  <c:v>18.55</c:v>
                </c:pt>
              </c:numCache>
            </c:numRef>
          </c:val>
          <c:extLst>
            <c:ext xmlns:c16="http://schemas.microsoft.com/office/drawing/2014/chart" uri="{C3380CC4-5D6E-409C-BE32-E72D297353CC}">
              <c16:uniqueId val="{00000005-56F5-4EB7-8730-C95A30CC2F5A}"/>
            </c:ext>
          </c:extLst>
        </c:ser>
        <c:dLbls>
          <c:showLegendKey val="0"/>
          <c:showVal val="1"/>
          <c:showCatName val="1"/>
          <c:showSerName val="0"/>
          <c:showPercent val="1"/>
          <c:showBubbleSize val="0"/>
          <c:showLeaderLines val="1"/>
        </c:dLbls>
        <c:firstSliceAng val="15"/>
      </c:pieChart>
      <c:spPr>
        <a:noFill/>
        <a:ln>
          <a:noFill/>
        </a:ln>
        <a:effectLst/>
      </c:spPr>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47AF22-F94D-40B8-82F5-022B1544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1651</Words>
  <Characters>9415</Characters>
  <Application>Microsoft Office Word</Application>
  <DocSecurity>0</DocSecurity>
  <Lines>78</Lines>
  <Paragraphs>22</Paragraphs>
  <ScaleCrop>false</ScaleCrop>
  <Company>四川省财政厅</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80</cp:revision>
  <cp:lastPrinted>2022-08-23T08:04:00Z</cp:lastPrinted>
  <dcterms:created xsi:type="dcterms:W3CDTF">2020-08-05T01:49:00Z</dcterms:created>
  <dcterms:modified xsi:type="dcterms:W3CDTF">2023-07-24T12:41:00Z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