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p>
    <w:p>
      <w:pPr>
        <w:adjustRightInd w:val="0"/>
        <w:snapToGrid w:val="0"/>
        <w:spacing w:line="360" w:lineRule="auto"/>
        <w:jc w:val="center"/>
        <w:rPr>
          <w:rFonts w:ascii="方正小标宋简体" w:hAnsi="方正小标宋简体" w:eastAsia="方正小标宋简体" w:cs="方正小标宋简体"/>
          <w:sz w:val="72"/>
          <w:szCs w:val="72"/>
        </w:rPr>
      </w:pPr>
      <w:bookmarkStart w:id="0" w:name="_Toc15396475"/>
      <w:bookmarkStart w:id="1" w:name="_Toc15396597"/>
      <w:bookmarkStart w:id="2" w:name="_Toc15377425"/>
      <w:bookmarkStart w:id="3" w:name="_Toc15377193"/>
      <w:bookmarkStart w:id="4" w:name="_Toc15378441"/>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46CD7E"/>
          <w:shd w:val="clear" w:fill="auto"/>
        </w:rPr>
      </w:pPr>
      <w:bookmarkStart w:id="5" w:name="_Toc14950"/>
      <w:r>
        <w:rPr>
          <w:rFonts w:hint="eastAsia"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u w:val="none" w:color="46CD7E"/>
          <w:shd w:val="clear" w:fill="auto"/>
        </w:rPr>
        <w:t>年度</w:t>
      </w:r>
      <w:bookmarkEnd w:id="0"/>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0785"/>
      <w:bookmarkStart w:id="7" w:name="_Toc15396476"/>
      <w:bookmarkStart w:id="8" w:name="_Toc15378442"/>
      <w:bookmarkStart w:id="9" w:name="_Toc15377426"/>
      <w:bookmarkStart w:id="10" w:name="_Toc15396598"/>
      <w:bookmarkStart w:id="11" w:name="_Toc15377194"/>
      <w:r>
        <w:rPr>
          <w:rFonts w:hint="eastAsia" w:ascii="方正小标宋简体" w:hAnsi="方正小标宋简体" w:eastAsia="方正小标宋简体" w:cs="方正小标宋简体"/>
          <w:sz w:val="72"/>
          <w:szCs w:val="72"/>
        </w:rPr>
        <w:t>四川省</w:t>
      </w:r>
      <w:bookmarkStart w:id="12" w:name="_Toc15306268"/>
      <w:r>
        <w:rPr>
          <w:rFonts w:hint="eastAsia" w:ascii="方正小标宋简体" w:hAnsi="方正小标宋简体" w:eastAsia="方正小标宋简体" w:cs="方正小标宋简体"/>
          <w:sz w:val="72"/>
          <w:szCs w:val="72"/>
        </w:rPr>
        <w:t>通江县柞蚕种场</w:t>
      </w:r>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3" w:name="_Toc7611"/>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2"/>
      <w:bookmarkEnd w:id="13"/>
    </w:p>
    <w:p>
      <w:pPr>
        <w:adjustRightInd w:val="0"/>
        <w:snapToGrid w:val="0"/>
        <w:spacing w:line="360" w:lineRule="auto"/>
        <w:jc w:val="center"/>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  录</w:t>
      </w:r>
    </w:p>
    <w:p>
      <w:pPr>
        <w:pStyle w:val="9"/>
        <w:spacing w:before="0" w:line="360" w:lineRule="auto"/>
        <w:jc w:val="both"/>
        <w:rPr>
          <w:rFonts w:ascii="宋体" w:hAnsi="宋体" w:eastAsia="宋体" w:cs="宋体"/>
          <w:sz w:val="32"/>
          <w:szCs w:val="32"/>
        </w:rPr>
      </w:pPr>
    </w:p>
    <w:p>
      <w:pPr>
        <w:pStyle w:val="9"/>
        <w:spacing w:before="0"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公开时间：2022年9月1日</w:t>
      </w:r>
    </w:p>
    <w:p>
      <w:pPr>
        <w:pStyle w:val="9"/>
        <w:adjustRightInd w:val="0"/>
        <w:snapToGrid w:val="0"/>
        <w:spacing w:before="0" w:line="360" w:lineRule="auto"/>
        <w:ind w:firstLine="643" w:firstLineChars="200"/>
        <w:jc w:val="left"/>
        <w:rPr>
          <w:rFonts w:ascii="宋体" w:hAnsi="宋体" w:eastAsia="宋体" w:cs="宋体"/>
          <w:b/>
          <w:bCs/>
          <w:sz w:val="32"/>
          <w:szCs w:val="32"/>
        </w:rPr>
      </w:pPr>
    </w:p>
    <w:sdt>
      <w:sdtPr>
        <w:rPr>
          <w:rFonts w:ascii="宋体" w:hAnsi="宋体" w:eastAsia="宋体" w:cs="Times New Roman"/>
          <w:kern w:val="2"/>
          <w:sz w:val="21"/>
          <w:szCs w:val="24"/>
        </w:rPr>
        <w:id w:val="147470576"/>
        <w15:color w:val="DBDBDB"/>
        <w:docPartObj>
          <w:docPartGallery w:val="Table of Contents"/>
          <w:docPartUnique/>
        </w:docPartObj>
      </w:sdtPr>
      <w:sdtEndPr>
        <w:rPr>
          <w:rFonts w:hint="eastAsia" w:ascii="Times New Roman" w:hAnsi="Times New Roman" w:eastAsia="宋体" w:cs="Times New Roman"/>
          <w:b/>
          <w:kern w:val="2"/>
          <w:sz w:val="21"/>
          <w:szCs w:val="32"/>
        </w:rPr>
      </w:sdtEndPr>
      <w:sdtContent>
        <w:p>
          <w:pPr>
            <w:pStyle w:val="24"/>
            <w:tabs>
              <w:tab w:val="right" w:leader="dot" w:pos="8306"/>
            </w:tabs>
            <w:rPr>
              <w:b/>
            </w:rPr>
          </w:pPr>
          <w:r>
            <w:rPr>
              <w:rFonts w:hint="eastAsia"/>
              <w:sz w:val="32"/>
              <w:szCs w:val="32"/>
            </w:rPr>
            <w:fldChar w:fldCharType="begin"/>
          </w:r>
          <w:r>
            <w:rPr>
              <w:rFonts w:hint="eastAsia"/>
              <w:sz w:val="32"/>
              <w:szCs w:val="32"/>
            </w:rPr>
            <w:instrText xml:space="preserve">TOC \o "1-2" \h \u </w:instrText>
          </w:r>
          <w:r>
            <w:rPr>
              <w:rFonts w:hint="eastAsia"/>
              <w:sz w:val="32"/>
              <w:szCs w:val="32"/>
            </w:rPr>
            <w:fldChar w:fldCharType="separate"/>
          </w:r>
          <w:r>
            <w:fldChar w:fldCharType="begin"/>
          </w:r>
          <w:r>
            <w:instrText xml:space="preserve"> HYPERLINK \l "_Toc131" </w:instrText>
          </w:r>
          <w:r>
            <w:fldChar w:fldCharType="separate"/>
          </w:r>
          <w:r>
            <w:rPr>
              <w:rFonts w:hint="eastAsia" w:ascii="黑体" w:hAnsi="黑体" w:eastAsia="黑体"/>
              <w:b/>
            </w:rPr>
            <w:t>第一部分 单位概况</w:t>
          </w:r>
          <w:r>
            <w:rPr>
              <w:b/>
            </w:rPr>
            <w:tab/>
          </w:r>
          <w:r>
            <w:rPr>
              <w:b/>
            </w:rPr>
            <w:fldChar w:fldCharType="begin"/>
          </w:r>
          <w:r>
            <w:rPr>
              <w:b/>
            </w:rPr>
            <w:instrText xml:space="preserve"> PAGEREF _Toc131 </w:instrText>
          </w:r>
          <w:r>
            <w:rPr>
              <w:b/>
            </w:rPr>
            <w:fldChar w:fldCharType="separate"/>
          </w:r>
          <w:r>
            <w:rPr>
              <w:b/>
            </w:rPr>
            <w:t>- 3 -</w:t>
          </w:r>
          <w:r>
            <w:rPr>
              <w:b/>
            </w:rPr>
            <w:fldChar w:fldCharType="end"/>
          </w:r>
          <w:r>
            <w:rPr>
              <w:b/>
            </w:rPr>
            <w:fldChar w:fldCharType="end"/>
          </w:r>
        </w:p>
        <w:p>
          <w:pPr>
            <w:pStyle w:val="25"/>
            <w:tabs>
              <w:tab w:val="right" w:leader="dot" w:pos="8306"/>
            </w:tabs>
            <w:ind w:left="420"/>
          </w:pPr>
          <w:r>
            <w:fldChar w:fldCharType="begin"/>
          </w:r>
          <w:r>
            <w:instrText xml:space="preserve"> HYPERLINK \l "_Toc19865" </w:instrText>
          </w:r>
          <w:r>
            <w:fldChar w:fldCharType="separate"/>
          </w:r>
          <w:r>
            <w:rPr>
              <w:rFonts w:hint="eastAsia" w:ascii="宋体" w:hAnsi="宋体" w:eastAsia="宋体" w:cs="宋体"/>
              <w:bCs/>
            </w:rPr>
            <w:t>一、职能简介</w:t>
          </w:r>
          <w:r>
            <w:tab/>
          </w:r>
          <w:r>
            <w:fldChar w:fldCharType="begin"/>
          </w:r>
          <w:r>
            <w:instrText xml:space="preserve"> PAGEREF _Toc19865 </w:instrText>
          </w:r>
          <w:r>
            <w:fldChar w:fldCharType="separate"/>
          </w:r>
          <w:r>
            <w:t>- 3 -</w:t>
          </w:r>
          <w:r>
            <w:fldChar w:fldCharType="end"/>
          </w:r>
          <w:r>
            <w:fldChar w:fldCharType="end"/>
          </w:r>
        </w:p>
        <w:p>
          <w:pPr>
            <w:pStyle w:val="25"/>
            <w:tabs>
              <w:tab w:val="right" w:leader="dot" w:pos="8306"/>
            </w:tabs>
            <w:ind w:left="420"/>
          </w:pPr>
          <w:r>
            <w:fldChar w:fldCharType="begin"/>
          </w:r>
          <w:r>
            <w:instrText xml:space="preserve"> HYPERLINK \l "_Toc15225" </w:instrText>
          </w:r>
          <w:r>
            <w:fldChar w:fldCharType="separate"/>
          </w:r>
          <w:r>
            <w:rPr>
              <w:rFonts w:hint="eastAsia" w:ascii="宋体" w:hAnsi="宋体" w:eastAsia="宋体" w:cs="宋体"/>
              <w:bCs/>
            </w:rPr>
            <w:t>二、2021年重点工作完成情况</w:t>
          </w:r>
          <w:r>
            <w:tab/>
          </w:r>
          <w:r>
            <w:fldChar w:fldCharType="begin"/>
          </w:r>
          <w:r>
            <w:instrText xml:space="preserve"> PAGEREF _Toc15225 </w:instrText>
          </w:r>
          <w:r>
            <w:fldChar w:fldCharType="separate"/>
          </w:r>
          <w:r>
            <w:t>- 3 -</w:t>
          </w:r>
          <w:r>
            <w:fldChar w:fldCharType="end"/>
          </w:r>
          <w:r>
            <w:fldChar w:fldCharType="end"/>
          </w:r>
        </w:p>
        <w:p>
          <w:pPr>
            <w:pStyle w:val="24"/>
            <w:tabs>
              <w:tab w:val="right" w:leader="dot" w:pos="8306"/>
            </w:tabs>
            <w:rPr>
              <w:b/>
            </w:rPr>
          </w:pPr>
          <w:r>
            <w:fldChar w:fldCharType="begin"/>
          </w:r>
          <w:r>
            <w:instrText xml:space="preserve"> HYPERLINK \l "_Toc4637" </w:instrText>
          </w:r>
          <w:r>
            <w:fldChar w:fldCharType="separate"/>
          </w:r>
          <w:r>
            <w:rPr>
              <w:rFonts w:hint="eastAsia" w:ascii="黑体" w:hAnsi="黑体" w:eastAsia="黑体"/>
              <w:b/>
              <w:bCs/>
            </w:rPr>
            <w:t>第二部分 2021年度单位决算情况说明</w:t>
          </w:r>
          <w:r>
            <w:rPr>
              <w:b/>
            </w:rPr>
            <w:tab/>
          </w:r>
          <w:r>
            <w:rPr>
              <w:b/>
            </w:rPr>
            <w:fldChar w:fldCharType="begin"/>
          </w:r>
          <w:r>
            <w:rPr>
              <w:b/>
            </w:rPr>
            <w:instrText xml:space="preserve"> PAGEREF _Toc4637 </w:instrText>
          </w:r>
          <w:r>
            <w:rPr>
              <w:b/>
            </w:rPr>
            <w:fldChar w:fldCharType="separate"/>
          </w:r>
          <w:r>
            <w:rPr>
              <w:b/>
            </w:rPr>
            <w:t>- 8 -</w:t>
          </w:r>
          <w:r>
            <w:rPr>
              <w:b/>
            </w:rPr>
            <w:fldChar w:fldCharType="end"/>
          </w:r>
          <w:r>
            <w:rPr>
              <w:b/>
            </w:rPr>
            <w:fldChar w:fldCharType="end"/>
          </w:r>
        </w:p>
        <w:p>
          <w:pPr>
            <w:pStyle w:val="25"/>
            <w:tabs>
              <w:tab w:val="right" w:leader="dot" w:pos="8306"/>
            </w:tabs>
            <w:ind w:left="420"/>
          </w:pPr>
          <w:r>
            <w:fldChar w:fldCharType="begin"/>
          </w:r>
          <w:r>
            <w:instrText xml:space="preserve"> HYPERLINK \l "_Toc3671"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_Toc3671 </w:instrText>
          </w:r>
          <w:r>
            <w:fldChar w:fldCharType="separate"/>
          </w:r>
          <w:r>
            <w:t>- 8 -</w:t>
          </w:r>
          <w:r>
            <w:fldChar w:fldCharType="end"/>
          </w:r>
          <w:r>
            <w:fldChar w:fldCharType="end"/>
          </w:r>
        </w:p>
        <w:p>
          <w:pPr>
            <w:pStyle w:val="25"/>
            <w:tabs>
              <w:tab w:val="right" w:leader="dot" w:pos="8306"/>
            </w:tabs>
            <w:ind w:left="420"/>
          </w:pPr>
          <w:r>
            <w:fldChar w:fldCharType="begin"/>
          </w:r>
          <w:r>
            <w:instrText xml:space="preserve"> HYPERLINK \l "_Toc13928"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_Toc13928 </w:instrText>
          </w:r>
          <w:r>
            <w:fldChar w:fldCharType="separate"/>
          </w:r>
          <w:r>
            <w:t>- 8 -</w:t>
          </w:r>
          <w:r>
            <w:fldChar w:fldCharType="end"/>
          </w:r>
          <w:r>
            <w:fldChar w:fldCharType="end"/>
          </w:r>
        </w:p>
        <w:p>
          <w:pPr>
            <w:pStyle w:val="25"/>
            <w:tabs>
              <w:tab w:val="right" w:leader="dot" w:pos="8306"/>
            </w:tabs>
            <w:ind w:left="420"/>
          </w:pPr>
          <w:r>
            <w:fldChar w:fldCharType="begin"/>
          </w:r>
          <w:r>
            <w:instrText xml:space="preserve"> HYPERLINK \l "_Toc21126"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_Toc21126 </w:instrText>
          </w:r>
          <w:r>
            <w:fldChar w:fldCharType="separate"/>
          </w:r>
          <w:r>
            <w:t>- 9 -</w:t>
          </w:r>
          <w:r>
            <w:fldChar w:fldCharType="end"/>
          </w:r>
          <w:r>
            <w:fldChar w:fldCharType="end"/>
          </w:r>
        </w:p>
        <w:p>
          <w:pPr>
            <w:pStyle w:val="25"/>
            <w:tabs>
              <w:tab w:val="right" w:leader="dot" w:pos="8306"/>
            </w:tabs>
            <w:ind w:left="420"/>
          </w:pPr>
          <w:r>
            <w:fldChar w:fldCharType="begin"/>
          </w:r>
          <w:r>
            <w:instrText xml:space="preserve"> HYPERLINK \l "_Toc29001"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_Toc29001 </w:instrText>
          </w:r>
          <w:r>
            <w:fldChar w:fldCharType="separate"/>
          </w:r>
          <w:r>
            <w:t>- 9 -</w:t>
          </w:r>
          <w:r>
            <w:fldChar w:fldCharType="end"/>
          </w:r>
          <w:r>
            <w:fldChar w:fldCharType="end"/>
          </w:r>
        </w:p>
        <w:p>
          <w:pPr>
            <w:pStyle w:val="25"/>
            <w:tabs>
              <w:tab w:val="right" w:leader="dot" w:pos="8306"/>
            </w:tabs>
            <w:ind w:left="420"/>
          </w:pPr>
          <w:r>
            <w:fldChar w:fldCharType="begin"/>
          </w:r>
          <w:r>
            <w:instrText xml:space="preserve"> HYPERLINK \l "_Toc9303"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_Toc9303 </w:instrText>
          </w:r>
          <w:r>
            <w:fldChar w:fldCharType="separate"/>
          </w:r>
          <w:r>
            <w:t>- 10 -</w:t>
          </w:r>
          <w:r>
            <w:fldChar w:fldCharType="end"/>
          </w:r>
          <w:r>
            <w:fldChar w:fldCharType="end"/>
          </w:r>
        </w:p>
        <w:p>
          <w:pPr>
            <w:pStyle w:val="25"/>
            <w:tabs>
              <w:tab w:val="right" w:leader="dot" w:pos="8306"/>
            </w:tabs>
            <w:ind w:left="420"/>
          </w:pPr>
          <w:r>
            <w:fldChar w:fldCharType="begin"/>
          </w:r>
          <w:r>
            <w:instrText xml:space="preserve"> HYPERLINK \l "_Toc23098"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_Toc23098 </w:instrText>
          </w:r>
          <w:r>
            <w:fldChar w:fldCharType="separate"/>
          </w:r>
          <w:r>
            <w:t>- 12 -</w:t>
          </w:r>
          <w:r>
            <w:fldChar w:fldCharType="end"/>
          </w:r>
          <w:r>
            <w:fldChar w:fldCharType="end"/>
          </w:r>
        </w:p>
        <w:p>
          <w:pPr>
            <w:pStyle w:val="25"/>
            <w:tabs>
              <w:tab w:val="right" w:leader="dot" w:pos="8306"/>
            </w:tabs>
            <w:ind w:left="420"/>
          </w:pPr>
          <w:r>
            <w:fldChar w:fldCharType="begin"/>
          </w:r>
          <w:r>
            <w:instrText xml:space="preserve"> HYPERLINK \l "_Toc12890"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_Toc12890 </w:instrText>
          </w:r>
          <w:r>
            <w:fldChar w:fldCharType="separate"/>
          </w:r>
          <w:r>
            <w:t>- 12 -</w:t>
          </w:r>
          <w:r>
            <w:fldChar w:fldCharType="end"/>
          </w:r>
          <w:r>
            <w:fldChar w:fldCharType="end"/>
          </w:r>
        </w:p>
        <w:p>
          <w:pPr>
            <w:pStyle w:val="25"/>
            <w:tabs>
              <w:tab w:val="right" w:leader="dot" w:pos="8306"/>
            </w:tabs>
            <w:ind w:left="420"/>
          </w:pPr>
          <w:r>
            <w:fldChar w:fldCharType="begin"/>
          </w:r>
          <w:r>
            <w:instrText xml:space="preserve"> HYPERLINK \l "_Toc18382"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_Toc18382 </w:instrText>
          </w:r>
          <w:r>
            <w:fldChar w:fldCharType="separate"/>
          </w:r>
          <w:r>
            <w:t>- 13 -</w:t>
          </w:r>
          <w:r>
            <w:fldChar w:fldCharType="end"/>
          </w:r>
          <w:r>
            <w:fldChar w:fldCharType="end"/>
          </w:r>
        </w:p>
        <w:p>
          <w:pPr>
            <w:pStyle w:val="25"/>
            <w:tabs>
              <w:tab w:val="right" w:leader="dot" w:pos="8306"/>
            </w:tabs>
            <w:ind w:left="420"/>
          </w:pPr>
          <w:r>
            <w:fldChar w:fldCharType="begin"/>
          </w:r>
          <w:r>
            <w:instrText xml:space="preserve"> HYPERLINK \l "_Toc19556" </w:instrText>
          </w:r>
          <w:r>
            <w:fldChar w:fldCharType="separate"/>
          </w:r>
          <w:r>
            <w:rPr>
              <w:rFonts w:hint="eastAsia" w:ascii="黑体" w:hAnsi="黑体" w:eastAsia="黑体"/>
            </w:rPr>
            <w:t>九、 国有资本经营预算支出决算情况说明</w:t>
          </w:r>
          <w:r>
            <w:tab/>
          </w:r>
          <w:r>
            <w:fldChar w:fldCharType="begin"/>
          </w:r>
          <w:r>
            <w:instrText xml:space="preserve"> PAGEREF _Toc19556 </w:instrText>
          </w:r>
          <w:r>
            <w:fldChar w:fldCharType="separate"/>
          </w:r>
          <w:r>
            <w:t>- 13 -</w:t>
          </w:r>
          <w:r>
            <w:fldChar w:fldCharType="end"/>
          </w:r>
          <w:r>
            <w:fldChar w:fldCharType="end"/>
          </w:r>
        </w:p>
        <w:p>
          <w:pPr>
            <w:pStyle w:val="25"/>
            <w:tabs>
              <w:tab w:val="right" w:leader="dot" w:pos="8306"/>
            </w:tabs>
            <w:ind w:left="420"/>
          </w:pPr>
          <w:r>
            <w:fldChar w:fldCharType="begin"/>
          </w:r>
          <w:r>
            <w:instrText xml:space="preserve"> HYPERLINK \l "_Toc21630" </w:instrText>
          </w:r>
          <w:r>
            <w:fldChar w:fldCharType="separate"/>
          </w:r>
          <w:r>
            <w:rPr>
              <w:rFonts w:hint="eastAsia" w:ascii="黑体" w:hAnsi="黑体" w:eastAsia="黑体"/>
            </w:rPr>
            <w:t>十、 其他重要事项的情况说明</w:t>
          </w:r>
          <w:r>
            <w:tab/>
          </w:r>
          <w:r>
            <w:fldChar w:fldCharType="begin"/>
          </w:r>
          <w:r>
            <w:instrText xml:space="preserve"> PAGEREF _Toc21630 </w:instrText>
          </w:r>
          <w:r>
            <w:fldChar w:fldCharType="separate"/>
          </w:r>
          <w:r>
            <w:t>- 13 -</w:t>
          </w:r>
          <w:r>
            <w:fldChar w:fldCharType="end"/>
          </w:r>
          <w:r>
            <w:fldChar w:fldCharType="end"/>
          </w:r>
        </w:p>
        <w:p>
          <w:pPr>
            <w:pStyle w:val="24"/>
            <w:tabs>
              <w:tab w:val="right" w:leader="dot" w:pos="8306"/>
            </w:tabs>
            <w:rPr>
              <w:b/>
            </w:rPr>
          </w:pPr>
          <w:r>
            <w:fldChar w:fldCharType="begin"/>
          </w:r>
          <w:r>
            <w:instrText xml:space="preserve"> HYPERLINK \l "_Toc3213" </w:instrText>
          </w:r>
          <w: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_Toc3213 </w:instrText>
          </w:r>
          <w:r>
            <w:rPr>
              <w:b/>
            </w:rPr>
            <w:fldChar w:fldCharType="separate"/>
          </w:r>
          <w:r>
            <w:rPr>
              <w:b/>
            </w:rPr>
            <w:t>- 15 -</w:t>
          </w:r>
          <w:r>
            <w:rPr>
              <w:b/>
            </w:rPr>
            <w:fldChar w:fldCharType="end"/>
          </w:r>
          <w:r>
            <w:rPr>
              <w:b/>
            </w:rPr>
            <w:fldChar w:fldCharType="end"/>
          </w:r>
        </w:p>
        <w:p>
          <w:pPr>
            <w:pStyle w:val="24"/>
            <w:tabs>
              <w:tab w:val="right" w:leader="dot" w:pos="8306"/>
            </w:tabs>
            <w:rPr>
              <w:b/>
            </w:rPr>
          </w:pPr>
          <w:r>
            <w:fldChar w:fldCharType="begin"/>
          </w:r>
          <w:r>
            <w:instrText xml:space="preserve"> HYPERLINK \l "_Toc32122" </w:instrText>
          </w:r>
          <w: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_Toc32122 </w:instrText>
          </w:r>
          <w:r>
            <w:rPr>
              <w:b/>
            </w:rPr>
            <w:fldChar w:fldCharType="separate"/>
          </w:r>
          <w:r>
            <w:rPr>
              <w:b/>
            </w:rPr>
            <w:t>- 17 -</w:t>
          </w:r>
          <w:r>
            <w:rPr>
              <w:b/>
            </w:rPr>
            <w:fldChar w:fldCharType="end"/>
          </w:r>
          <w:r>
            <w:rPr>
              <w:b/>
            </w:rPr>
            <w:fldChar w:fldCharType="end"/>
          </w:r>
        </w:p>
        <w:p>
          <w:pPr>
            <w:pStyle w:val="24"/>
            <w:tabs>
              <w:tab w:val="right" w:leader="dot" w:pos="8306"/>
            </w:tabs>
            <w:rPr>
              <w:b/>
            </w:rPr>
          </w:pPr>
          <w:r>
            <w:fldChar w:fldCharType="begin"/>
          </w:r>
          <w:r>
            <w:instrText xml:space="preserve"> HYPERLINK \l "_Toc214" </w:instrText>
          </w:r>
          <w:r>
            <w:fldChar w:fldCharType="separate"/>
          </w:r>
          <w:r>
            <w:rPr>
              <w:rFonts w:hint="eastAsia" w:ascii="黑体" w:hAnsi="黑体" w:eastAsia="黑体" w:cs="黑体"/>
              <w:b/>
              <w:szCs w:val="32"/>
            </w:rPr>
            <w:t>附件1：</w:t>
          </w:r>
          <w:r>
            <w:rPr>
              <w:b/>
            </w:rPr>
            <w:tab/>
          </w:r>
          <w:r>
            <w:rPr>
              <w:b/>
            </w:rPr>
            <w:fldChar w:fldCharType="begin"/>
          </w:r>
          <w:r>
            <w:rPr>
              <w:b/>
            </w:rPr>
            <w:instrText xml:space="preserve"> PAGEREF _Toc214 </w:instrText>
          </w:r>
          <w:r>
            <w:rPr>
              <w:b/>
            </w:rPr>
            <w:fldChar w:fldCharType="separate"/>
          </w:r>
          <w:r>
            <w:rPr>
              <w:b/>
            </w:rPr>
            <w:t>- 17 -</w:t>
          </w:r>
          <w:r>
            <w:rPr>
              <w:b/>
            </w:rPr>
            <w:fldChar w:fldCharType="end"/>
          </w:r>
          <w:r>
            <w:rPr>
              <w:b/>
            </w:rPr>
            <w:fldChar w:fldCharType="end"/>
          </w:r>
        </w:p>
        <w:p>
          <w:pPr>
            <w:pStyle w:val="24"/>
            <w:tabs>
              <w:tab w:val="right" w:leader="dot" w:pos="8306"/>
            </w:tabs>
            <w:rPr>
              <w:b/>
            </w:rPr>
          </w:pPr>
          <w:r>
            <w:fldChar w:fldCharType="begin"/>
          </w:r>
          <w:r>
            <w:instrText xml:space="preserve"> HYPERLINK \l "_Toc20488" </w:instrText>
          </w:r>
          <w: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_Toc20488 </w:instrText>
          </w:r>
          <w:r>
            <w:rPr>
              <w:b/>
            </w:rPr>
            <w:fldChar w:fldCharType="separate"/>
          </w:r>
          <w:r>
            <w:rPr>
              <w:b/>
            </w:rPr>
            <w:t>- 23 -</w:t>
          </w:r>
          <w:r>
            <w:rPr>
              <w:b/>
            </w:rPr>
            <w:fldChar w:fldCharType="end"/>
          </w:r>
          <w:r>
            <w:rPr>
              <w:b/>
            </w:rPr>
            <w:fldChar w:fldCharType="end"/>
          </w:r>
        </w:p>
        <w:p>
          <w:pPr>
            <w:pStyle w:val="25"/>
            <w:tabs>
              <w:tab w:val="right" w:leader="dot" w:pos="8306"/>
            </w:tabs>
            <w:ind w:left="420"/>
          </w:pPr>
          <w:r>
            <w:fldChar w:fldCharType="begin"/>
          </w:r>
          <w:r>
            <w:instrText xml:space="preserve"> HYPERLINK \l "_Toc912" </w:instrText>
          </w:r>
          <w:r>
            <w:fldChar w:fldCharType="separate"/>
          </w:r>
          <w:r>
            <w:rPr>
              <w:rFonts w:hint="eastAsia" w:ascii="宋体" w:hAnsi="宋体" w:eastAsia="宋体" w:cs="宋体"/>
              <w:bCs/>
            </w:rPr>
            <w:t>一、</w:t>
          </w:r>
          <w:r>
            <w:rPr>
              <w:rFonts w:hint="eastAsia" w:ascii="仿宋" w:hAnsi="仿宋" w:eastAsia="仿宋"/>
            </w:rPr>
            <w:t>收入支出决算总表</w:t>
          </w:r>
          <w:r>
            <w:tab/>
          </w:r>
          <w:r>
            <w:fldChar w:fldCharType="begin"/>
          </w:r>
          <w:r>
            <w:instrText xml:space="preserve"> PAGEREF _Toc912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"_Toc16083" </w:instrText>
          </w:r>
          <w:r>
            <w:fldChar w:fldCharType="separate"/>
          </w:r>
          <w:r>
            <w:rPr>
              <w:rFonts w:hint="eastAsia" w:ascii="宋体" w:hAnsi="宋体" w:eastAsia="宋体" w:cs="宋体"/>
            </w:rPr>
            <w:t xml:space="preserve">二、 </w:t>
          </w:r>
          <w:r>
            <w:rPr>
              <w:rFonts w:hint="eastAsia" w:ascii="仿宋" w:hAnsi="仿宋" w:eastAsia="仿宋"/>
            </w:rPr>
            <w:t>收入决算表</w:t>
          </w:r>
          <w:r>
            <w:tab/>
          </w:r>
          <w:r>
            <w:fldChar w:fldCharType="begin"/>
          </w:r>
          <w:r>
            <w:instrText xml:space="preserve"> PAGEREF _Toc16083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"_Toc8169" </w:instrText>
          </w:r>
          <w:r>
            <w:fldChar w:fldCharType="separate"/>
          </w:r>
          <w:r>
            <w:rPr>
              <w:rFonts w:hint="eastAsia" w:ascii="宋体" w:hAnsi="宋体" w:eastAsia="宋体" w:cs="宋体"/>
            </w:rPr>
            <w:t xml:space="preserve">三、 </w:t>
          </w:r>
          <w:r>
            <w:rPr>
              <w:rFonts w:hint="eastAsia" w:ascii="仿宋" w:hAnsi="仿宋" w:eastAsia="仿宋"/>
            </w:rPr>
            <w:t>支出决算表</w:t>
          </w:r>
          <w:r>
            <w:tab/>
          </w:r>
          <w:r>
            <w:fldChar w:fldCharType="begin"/>
          </w:r>
          <w:r>
            <w:instrText xml:space="preserve"> PAGEREF _Toc8169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"_Toc18100" </w:instrText>
          </w:r>
          <w:r>
            <w:fldChar w:fldCharType="separate"/>
          </w:r>
          <w:r>
            <w:rPr>
              <w:rFonts w:hint="eastAsia" w:ascii="宋体" w:hAnsi="宋体" w:eastAsia="宋体" w:cs="宋体"/>
            </w:rPr>
            <w:t xml:space="preserve">四、 </w:t>
          </w:r>
          <w:r>
            <w:rPr>
              <w:rFonts w:hint="eastAsia" w:ascii="仿宋" w:hAnsi="仿宋" w:eastAsia="仿宋"/>
            </w:rPr>
            <w:t>财政拨款收入支出决算总表</w:t>
          </w:r>
          <w:r>
            <w:tab/>
          </w:r>
          <w:r>
            <w:fldChar w:fldCharType="begin"/>
          </w:r>
          <w:r>
            <w:instrText xml:space="preserve"> PAGEREF _Toc18100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"_Toc11293" </w:instrText>
          </w:r>
          <w:r>
            <w:fldChar w:fldCharType="separate"/>
          </w:r>
          <w:r>
            <w:rPr>
              <w:rFonts w:hint="eastAsia" w:ascii="宋体" w:hAnsi="宋体" w:eastAsia="宋体" w:cs="宋体"/>
            </w:rPr>
            <w:t xml:space="preserve">五、 </w:t>
          </w:r>
          <w:r>
            <w:rPr>
              <w:rFonts w:hint="eastAsia" w:ascii="仿宋" w:hAnsi="仿宋" w:eastAsia="仿宋"/>
            </w:rPr>
            <w:t>财政拨款支出决算明细表</w:t>
          </w:r>
          <w:r>
            <w:tab/>
          </w:r>
          <w:r>
            <w:fldChar w:fldCharType="begin"/>
          </w:r>
          <w:r>
            <w:instrText xml:space="preserve"> PAGEREF _Toc11293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"_Toc1720" </w:instrText>
          </w:r>
          <w:r>
            <w:fldChar w:fldCharType="separate"/>
          </w:r>
          <w:r>
            <w:rPr>
              <w:rFonts w:hint="eastAsia" w:ascii="宋体" w:hAnsi="宋体" w:eastAsia="宋体" w:cs="宋体"/>
            </w:rPr>
            <w:t xml:space="preserve">六、 </w:t>
          </w:r>
          <w:r>
            <w:rPr>
              <w:rFonts w:hint="eastAsia" w:ascii="仿宋" w:hAnsi="仿宋" w:eastAsia="仿宋"/>
            </w:rPr>
            <w:t>一般公共预算财政拨款支出决算表</w:t>
          </w:r>
          <w:r>
            <w:tab/>
          </w:r>
          <w:r>
            <w:fldChar w:fldCharType="begin"/>
          </w:r>
          <w:r>
            <w:instrText xml:space="preserve"> PAGEREF _Toc1720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"_Toc19921" </w:instrText>
          </w:r>
          <w:r>
            <w:fldChar w:fldCharType="separate"/>
          </w:r>
          <w:r>
            <w:rPr>
              <w:rFonts w:hint="eastAsia" w:ascii="宋体" w:hAnsi="宋体" w:eastAsia="宋体" w:cs="宋体"/>
            </w:rPr>
            <w:t xml:space="preserve">七、 </w:t>
          </w:r>
          <w:r>
            <w:rPr>
              <w:rFonts w:hint="eastAsia" w:ascii="仿宋" w:hAnsi="仿宋" w:eastAsia="仿宋"/>
            </w:rPr>
            <w:t>一般公共预算财政拨款支出决算明细表</w:t>
          </w:r>
          <w:r>
            <w:tab/>
          </w:r>
          <w:r>
            <w:fldChar w:fldCharType="begin"/>
          </w:r>
          <w:r>
            <w:instrText xml:space="preserve"> PAGEREF _Toc19921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"_Toc19832" </w:instrText>
          </w:r>
          <w:r>
            <w:fldChar w:fldCharType="separate"/>
          </w:r>
          <w:r>
            <w:rPr>
              <w:rFonts w:hint="eastAsia" w:ascii="宋体" w:hAnsi="宋体" w:eastAsia="宋体" w:cs="宋体"/>
            </w:rPr>
            <w:t xml:space="preserve">八、 </w:t>
          </w:r>
          <w:r>
            <w:rPr>
              <w:rFonts w:hint="eastAsia" w:ascii="仿宋" w:hAnsi="仿宋" w:eastAsia="仿宋"/>
            </w:rPr>
            <w:t>一般公共预算财政拨款基本支出决算表</w:t>
          </w:r>
          <w:r>
            <w:tab/>
          </w:r>
          <w:r>
            <w:fldChar w:fldCharType="begin"/>
          </w:r>
          <w:r>
            <w:instrText xml:space="preserve"> PAGEREF _Toc19832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"_Toc673" </w:instrText>
          </w:r>
          <w:r>
            <w:fldChar w:fldCharType="separate"/>
          </w:r>
          <w:r>
            <w:rPr>
              <w:rFonts w:hint="eastAsia" w:ascii="宋体" w:hAnsi="宋体" w:eastAsia="宋体" w:cs="宋体"/>
            </w:rPr>
            <w:t xml:space="preserve">九、 </w:t>
          </w:r>
          <w:r>
            <w:rPr>
              <w:rFonts w:hint="eastAsia" w:ascii="仿宋" w:hAnsi="仿宋" w:eastAsia="仿宋"/>
            </w:rPr>
            <w:t>一般公共预算财政拨款项目支出决算表</w:t>
          </w:r>
          <w:r>
            <w:tab/>
          </w:r>
          <w:r>
            <w:fldChar w:fldCharType="begin"/>
          </w:r>
          <w:r>
            <w:instrText xml:space="preserve"> PAGEREF _Toc673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"_Toc28149" </w:instrText>
          </w:r>
          <w:r>
            <w:fldChar w:fldCharType="separate"/>
          </w:r>
          <w:r>
            <w:rPr>
              <w:rFonts w:hint="eastAsia" w:ascii="宋体" w:hAnsi="宋体" w:eastAsia="宋体" w:cs="宋体"/>
            </w:rPr>
            <w:t xml:space="preserve">十、 </w:t>
          </w:r>
          <w:r>
            <w:rPr>
              <w:rFonts w:hint="eastAsia" w:ascii="仿宋" w:hAnsi="仿宋" w:eastAsia="仿宋"/>
            </w:rPr>
            <w:t>一般公共预算财政拨款“三公”经费支出决算表</w:t>
          </w:r>
          <w:r>
            <w:tab/>
          </w:r>
          <w:r>
            <w:fldChar w:fldCharType="begin"/>
          </w:r>
          <w:r>
            <w:instrText xml:space="preserve"> PAGEREF _Toc28149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"_Toc22010" </w:instrText>
          </w:r>
          <w:r>
            <w:fldChar w:fldCharType="separate"/>
          </w:r>
          <w:r>
            <w:rPr>
              <w:rFonts w:hint="eastAsia" w:ascii="宋体" w:hAnsi="宋体" w:eastAsia="宋体" w:cs="宋体"/>
            </w:rPr>
            <w:t>十一、</w:t>
          </w:r>
          <w:r>
            <w:rPr>
              <w:rFonts w:hint="eastAsia" w:ascii="仿宋" w:hAnsi="仿宋" w:eastAsia="仿宋"/>
            </w:rPr>
            <w:t>政府性基金预算财政拨款收入支出决算表</w:t>
          </w:r>
          <w:r>
            <w:tab/>
          </w:r>
          <w:r>
            <w:fldChar w:fldCharType="begin"/>
          </w:r>
          <w:r>
            <w:instrText xml:space="preserve"> PAGEREF _Toc22010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"_Toc154" </w:instrText>
          </w:r>
          <w:r>
            <w:fldChar w:fldCharType="separate"/>
          </w:r>
          <w:r>
            <w:rPr>
              <w:rFonts w:hint="eastAsia" w:ascii="宋体" w:hAnsi="宋体" w:eastAsia="宋体" w:cs="宋体"/>
            </w:rPr>
            <w:t>十二、</w:t>
          </w:r>
          <w:r>
            <w:rPr>
              <w:rFonts w:hint="eastAsia" w:ascii="仿宋" w:hAnsi="仿宋" w:eastAsia="仿宋"/>
            </w:rPr>
            <w:t>政府性基金预算财政拨款“三公”经费支出决算表</w:t>
          </w:r>
          <w:r>
            <w:tab/>
          </w:r>
          <w:r>
            <w:fldChar w:fldCharType="begin"/>
          </w:r>
          <w:r>
            <w:instrText xml:space="preserve"> PAGEREF _Toc154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"_Toc30367" </w:instrText>
          </w:r>
          <w:r>
            <w:fldChar w:fldCharType="separate"/>
          </w:r>
          <w:r>
            <w:rPr>
              <w:rFonts w:hint="eastAsia" w:ascii="宋体" w:hAnsi="宋体" w:eastAsia="宋体" w:cs="宋体"/>
            </w:rPr>
            <w:t>十三、</w:t>
          </w:r>
          <w:r>
            <w:rPr>
              <w:rFonts w:hint="eastAsia" w:ascii="仿宋" w:hAnsi="仿宋" w:eastAsia="仿宋"/>
            </w:rPr>
            <w:t>国有资本经营预算财政拨款收入支出决算表</w:t>
          </w:r>
          <w:r>
            <w:tab/>
          </w:r>
          <w:r>
            <w:fldChar w:fldCharType="begin"/>
          </w:r>
          <w:r>
            <w:instrText xml:space="preserve"> PAGEREF _Toc30367 </w:instrText>
          </w:r>
          <w:r>
            <w:fldChar w:fldCharType="separate"/>
          </w:r>
          <w:r>
            <w:t>- 23 -</w:t>
          </w:r>
          <w:r>
            <w:fldChar w:fldCharType="end"/>
          </w:r>
          <w:r>
            <w:fldChar w:fldCharType="end"/>
          </w:r>
        </w:p>
        <w:p>
          <w:pPr>
            <w:pStyle w:val="25"/>
            <w:tabs>
              <w:tab w:val="right" w:leader="dot" w:pos="8306"/>
            </w:tabs>
            <w:ind w:left="420"/>
          </w:pPr>
          <w:r>
            <w:fldChar w:fldCharType="begin"/>
          </w:r>
          <w:r>
            <w:instrText xml:space="preserve"> HYPERLINK \l "_Toc6421" </w:instrText>
          </w:r>
          <w:r>
            <w:fldChar w:fldCharType="separate"/>
          </w:r>
          <w:r>
            <w:rPr>
              <w:rFonts w:hint="eastAsia" w:ascii="宋体" w:hAnsi="宋体" w:eastAsia="宋体" w:cs="宋体"/>
            </w:rPr>
            <w:t>十四、</w:t>
          </w:r>
          <w:r>
            <w:rPr>
              <w:rFonts w:hint="eastAsia" w:ascii="仿宋" w:hAnsi="仿宋" w:eastAsia="仿宋"/>
            </w:rPr>
            <w:t>国有资本经营预算财政拨款支出决算表</w:t>
          </w:r>
          <w:r>
            <w:tab/>
          </w:r>
          <w:r>
            <w:fldChar w:fldCharType="begin"/>
          </w:r>
          <w:r>
            <w:instrText xml:space="preserve"> PAGEREF _Toc6421 </w:instrText>
          </w:r>
          <w:r>
            <w:fldChar w:fldCharType="separate"/>
          </w:r>
          <w:r>
            <w:t>- 23 -</w:t>
          </w:r>
          <w:r>
            <w:fldChar w:fldCharType="end"/>
          </w:r>
          <w:r>
            <w:fldChar w:fldCharType="end"/>
          </w:r>
        </w:p>
        <w:p>
          <w:pPr>
            <w:rPr>
              <w:sz w:val="32"/>
              <w:szCs w:val="32"/>
            </w:rPr>
          </w:pPr>
          <w:r>
            <w:rPr>
              <w:rFonts w:hint="eastAsia"/>
              <w:b/>
              <w:szCs w:val="32"/>
            </w:rPr>
            <w:fldChar w:fldCharType="end"/>
          </w:r>
        </w:p>
      </w:sdtContent>
    </w:sdt>
    <w:p>
      <w:pPr>
        <w:pStyle w:val="6"/>
        <w:spacing w:before="93"/>
        <w:rPr>
          <w:sz w:val="32"/>
          <w:szCs w:val="32"/>
        </w:rPr>
      </w:pPr>
    </w:p>
    <w:p>
      <w:pPr>
        <w:pStyle w:val="4"/>
        <w:jc w:val="center"/>
        <w:rPr>
          <w:rFonts w:ascii="黑体" w:eastAsia="黑体"/>
          <w:sz w:val="32"/>
          <w:szCs w:val="32"/>
        </w:rPr>
      </w:pPr>
      <w:bookmarkStart w:id="14" w:name="_Toc131"/>
      <w:r>
        <w:rPr>
          <w:rFonts w:hint="eastAsia" w:ascii="黑体" w:hAnsi="黑体" w:eastAsia="黑体"/>
          <w:b w:val="0"/>
        </w:rPr>
        <w:t>第一部分 单位</w:t>
      </w:r>
      <w:r>
        <w:rPr>
          <w:rStyle w:val="14"/>
          <w:rFonts w:hint="eastAsia" w:ascii="黑体" w:hAnsi="黑体" w:eastAsia="黑体"/>
          <w:b w:val="0"/>
          <w:bCs w:val="0"/>
        </w:rPr>
        <w:t>概况</w:t>
      </w:r>
      <w:bookmarkEnd w:id="14"/>
    </w:p>
    <w:p>
      <w:pPr>
        <w:snapToGrid w:val="0"/>
        <w:spacing w:line="560" w:lineRule="exact"/>
        <w:ind w:firstLine="643" w:firstLineChars="200"/>
        <w:outlineLvl w:val="1"/>
        <w:rPr>
          <w:rFonts w:ascii="宋体" w:hAnsi="宋体" w:cs="宋体"/>
          <w:b/>
          <w:bCs/>
          <w:sz w:val="32"/>
          <w:szCs w:val="32"/>
        </w:rPr>
      </w:pPr>
      <w:bookmarkStart w:id="15" w:name="_Toc19865"/>
      <w:bookmarkStart w:id="16" w:name="_Toc15396600"/>
      <w:bookmarkStart w:id="17" w:name="_Toc15377197"/>
      <w:r>
        <w:rPr>
          <w:rStyle w:val="15"/>
          <w:rFonts w:hint="eastAsia" w:ascii="宋体" w:hAnsi="宋体" w:eastAsia="宋体" w:cs="宋体"/>
        </w:rPr>
        <w:t>一、职能简介</w:t>
      </w:r>
      <w:bookmarkEnd w:id="15"/>
      <w:bookmarkStart w:id="18" w:name="YS060101"/>
    </w:p>
    <w:bookmarkEnd w:id="18"/>
    <w:p>
      <w:pPr>
        <w:snapToGrid w:val="0"/>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（一）基本情况。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1．主要职能。</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以蚕桑为基础，指导广大蚕农提高养蚕技能，努力使蚕农增产增收。蚕桑制种、柞蚕保种、指导原蚕桑基地蚕农栽桑养蚕，为蚕农提供技术服务。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2．机构情况，包括当年变动情况及原因。</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当年事业单位机构数1个，独立核算单位1个，与上年无变动。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3．人员情况，包括当年变动情况及原因。</w:t>
      </w:r>
    </w:p>
    <w:p>
      <w:pPr>
        <w:snapToGrid w:val="0"/>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当年12月底</w:t>
      </w:r>
      <w:r>
        <w:rPr>
          <w:rFonts w:hint="eastAsia" w:ascii="仿宋" w:hAnsi="仿宋" w:eastAsia="仿宋" w:cs="仿宋"/>
          <w:sz w:val="32"/>
          <w:szCs w:val="32"/>
          <w:u w:val="thick" w:color="46CD7E"/>
          <w:shd w:val="clear" w:color="auto" w:fill="DAF5E5"/>
        </w:rPr>
        <w:t>人数为</w:t>
      </w:r>
      <w:r>
        <w:rPr>
          <w:rFonts w:hint="eastAsia" w:ascii="仿宋" w:hAnsi="仿宋" w:eastAsia="仿宋" w:cs="仿宋"/>
          <w:sz w:val="32"/>
          <w:szCs w:val="32"/>
        </w:rPr>
        <w:t>7人，比上年减少2人，主要是辞聘2人。</w:t>
      </w:r>
    </w:p>
    <w:p>
      <w:pPr>
        <w:pStyle w:val="5"/>
        <w:spacing w:before="0" w:after="0" w:line="560" w:lineRule="exact"/>
        <w:ind w:firstLine="643" w:firstLineChars="200"/>
        <w:rPr>
          <w:rFonts w:ascii="宋体" w:hAnsi="宋体" w:eastAsia="宋体" w:cs="宋体"/>
        </w:rPr>
      </w:pPr>
      <w:bookmarkStart w:id="19" w:name="_Toc15225"/>
      <w:r>
        <w:rPr>
          <w:rFonts w:hint="eastAsia" w:ascii="宋体" w:hAnsi="宋体" w:eastAsia="宋体" w:cs="宋体"/>
        </w:rPr>
        <w:t>二、2021年重点工作</w:t>
      </w:r>
      <w:bookmarkEnd w:id="16"/>
      <w:bookmarkEnd w:id="17"/>
      <w:r>
        <w:rPr>
          <w:rFonts w:hint="eastAsia" w:ascii="宋体" w:hAnsi="宋体" w:eastAsia="宋体" w:cs="宋体"/>
        </w:rPr>
        <w:t>完成情况</w:t>
      </w:r>
      <w:bookmarkEnd w:id="19"/>
    </w:p>
    <w:p>
      <w:pPr>
        <w:pStyle w:val="16"/>
        <w:spacing w:line="560" w:lineRule="exact"/>
        <w:ind w:firstLine="640" w:firstLineChars="200"/>
        <w:jc w:val="both"/>
        <w:rPr>
          <w:rFonts w:ascii="仿宋" w:hAnsi="仿宋" w:eastAsia="仿宋" w:cs="Times New Roman"/>
          <w:sz w:val="32"/>
          <w:szCs w:val="32"/>
        </w:rPr>
      </w:pPr>
      <w:r>
        <w:rPr>
          <w:rFonts w:hint="eastAsia" w:ascii="仿宋" w:hAnsi="仿宋" w:eastAsia="仿宋"/>
          <w:sz w:val="32"/>
          <w:szCs w:val="32"/>
          <w:highlight w:val="white"/>
        </w:rPr>
        <w:t>2021年，通江县柞蚕</w:t>
      </w:r>
      <w:r>
        <w:rPr>
          <w:rFonts w:hint="eastAsia" w:ascii="仿宋" w:hAnsi="仿宋" w:eastAsia="仿宋"/>
          <w:sz w:val="32"/>
          <w:szCs w:val="32"/>
          <w:highlight w:val="white"/>
          <w:u w:val="none" w:color="46CD7E"/>
          <w:shd w:val="clear" w:fill="auto"/>
        </w:rPr>
        <w:t>种场</w:t>
      </w:r>
      <w:r>
        <w:rPr>
          <w:rFonts w:hint="eastAsia" w:ascii="仿宋" w:hAnsi="仿宋" w:eastAsia="仿宋"/>
          <w:sz w:val="32"/>
          <w:szCs w:val="32"/>
          <w:highlight w:val="white"/>
        </w:rPr>
        <w:t>全体干部职工在县农业农村局的坚强领导下，认真学习贯彻党的十九届四中、五中全会精神，围绕《巴中市柞蚕产业发展规划》及省、市、县对柞蚕工作的要求，扎实工作，全面完成了各项目标任务。</w:t>
      </w:r>
    </w:p>
    <w:p>
      <w:pPr>
        <w:pStyle w:val="17"/>
        <w:ind w:firstLine="643"/>
        <w:jc w:val="both"/>
        <w:rPr>
          <w:rFonts w:ascii="宋体" w:hAnsi="宋体" w:eastAsia="宋体"/>
          <w:b/>
          <w:bCs/>
        </w:rPr>
      </w:pPr>
      <w:r>
        <w:rPr>
          <w:rFonts w:hint="eastAsia" w:ascii="宋体" w:hAnsi="宋体" w:eastAsia="宋体"/>
          <w:b/>
          <w:bCs/>
          <w:highlight w:val="white"/>
        </w:rPr>
        <w:t>（一）强化品种选育技术，坚持血统纯正</w:t>
      </w:r>
    </w:p>
    <w:p>
      <w:pPr>
        <w:pStyle w:val="16"/>
        <w:spacing w:line="560" w:lineRule="exact"/>
        <w:ind w:firstLine="640" w:firstLineChars="200"/>
        <w:jc w:val="both"/>
        <w:rPr>
          <w:rFonts w:ascii="仿宋" w:hAnsi="仿宋" w:eastAsia="仿宋" w:cs="Times New Roman"/>
          <w:sz w:val="32"/>
          <w:szCs w:val="32"/>
        </w:rPr>
      </w:pPr>
      <w:r>
        <w:rPr>
          <w:rFonts w:hint="eastAsia" w:ascii="仿宋" w:hAnsi="仿宋" w:eastAsia="仿宋"/>
          <w:sz w:val="32"/>
          <w:szCs w:val="32"/>
          <w:highlight w:val="white"/>
        </w:rPr>
        <w:t>年初，省农业农村厅蚕业管理总站及市县主管部门下达了我场承担全省柞蚕品种资源继代繁育任务，并签订了责任书。我场围绕业务目标任务，制定了工作方案，落实责任</w:t>
      </w:r>
      <w:r>
        <w:rPr>
          <w:rFonts w:ascii="仿宋" w:hAnsi="仿宋" w:eastAsia="仿宋" w:cs="Arial"/>
          <w:sz w:val="32"/>
          <w:szCs w:val="32"/>
          <w:highlight w:val="white"/>
        </w:rPr>
        <w:t>，</w:t>
      </w:r>
      <w:r>
        <w:rPr>
          <w:rFonts w:hint="eastAsia" w:ascii="仿宋" w:hAnsi="仿宋" w:eastAsia="仿宋"/>
          <w:sz w:val="32"/>
          <w:szCs w:val="32"/>
          <w:highlight w:val="white"/>
        </w:rPr>
        <w:t>精心组织，认真实施，严格按照《四川省柞蚕良种繁育质量监管规程、生态高效柞园修整技术规程、制种技术规程、柞蚕补催青及小蚕共育技术要点、柞蚕病虫害防治技术规程》等技术要求操作实施。在春、秋季的柞蚕母种、原种继代繁育工作中，技术人员始终坚持在生产一线，身体力行、亲自操作，大家起早摸黑、顶烈日、冒风雨、风餐露宿、兢兢业业、无怨无悔。在柞蚕品种继代繁育工作中，做到了严格“四选”，</w:t>
      </w:r>
      <w:r>
        <w:rPr>
          <w:rFonts w:hint="eastAsia" w:ascii="仿宋" w:hAnsi="仿宋" w:eastAsia="仿宋"/>
          <w:sz w:val="32"/>
          <w:szCs w:val="32"/>
          <w:highlight w:val="white"/>
          <w:u w:val="none" w:color="46CD7E"/>
          <w:shd w:val="clear" w:fill="auto"/>
        </w:rPr>
        <w:t>即</w:t>
      </w:r>
      <w:r>
        <w:rPr>
          <w:rFonts w:hint="eastAsia" w:ascii="仿宋" w:hAnsi="仿宋" w:eastAsia="仿宋"/>
          <w:sz w:val="32"/>
          <w:szCs w:val="32"/>
          <w:highlight w:val="white"/>
        </w:rPr>
        <w:t>：选茧、选蛾、选卵、选蚕，坚决淘汰不合格茧、蛹、蛾、卵、蚕；</w:t>
      </w:r>
      <w:r>
        <w:rPr>
          <w:rFonts w:hint="eastAsia" w:ascii="仿宋" w:hAnsi="仿宋" w:eastAsia="仿宋"/>
          <w:sz w:val="32"/>
          <w:szCs w:val="32"/>
          <w:highlight w:val="white"/>
          <w:u w:val="none" w:color="46CD7E"/>
          <w:shd w:val="clear" w:fill="7F9698"/>
        </w:rPr>
        <w:t>严格集团及</w:t>
      </w:r>
      <w:r>
        <w:rPr>
          <w:rFonts w:hint="eastAsia" w:ascii="仿宋" w:hAnsi="仿宋" w:eastAsia="仿宋"/>
          <w:sz w:val="32"/>
          <w:szCs w:val="32"/>
          <w:highlight w:val="white"/>
          <w:u w:val="none" w:color="46CD7E"/>
          <w:shd w:val="clear" w:color="auto" w:fill="7F9698"/>
        </w:rPr>
        <w:t>单蛾</w:t>
      </w:r>
      <w:r>
        <w:rPr>
          <w:rFonts w:hint="eastAsia" w:ascii="仿宋" w:hAnsi="仿宋" w:eastAsia="仿宋"/>
          <w:sz w:val="32"/>
          <w:szCs w:val="32"/>
          <w:highlight w:val="white"/>
          <w:u w:val="none" w:color="46CD7E"/>
          <w:shd w:val="clear" w:fill="7F9698"/>
        </w:rPr>
        <w:t>镜检，坚决将微粒子病毒控制为0；</w:t>
      </w:r>
      <w:r>
        <w:rPr>
          <w:rFonts w:hint="eastAsia" w:ascii="仿宋" w:hAnsi="仿宋" w:eastAsia="仿宋"/>
          <w:sz w:val="32"/>
          <w:szCs w:val="32"/>
          <w:highlight w:val="white"/>
        </w:rPr>
        <w:t>严格消毒防病，坚决做到种无毒、蚕无病；精心饲养管理，全年完成14个柞蚕母种、原种、杂交种保存继代，生产合格种茧8.2万粒，超额完成2.2万粒</w:t>
      </w:r>
      <w:r>
        <w:rPr>
          <w:rFonts w:hint="eastAsia" w:ascii="仿宋" w:hAnsi="仿宋" w:eastAsia="仿宋"/>
          <w:sz w:val="32"/>
          <w:szCs w:val="32"/>
        </w:rPr>
        <w:t>。</w:t>
      </w:r>
    </w:p>
    <w:p>
      <w:pPr>
        <w:pStyle w:val="16"/>
        <w:spacing w:line="560" w:lineRule="exact"/>
        <w:ind w:firstLine="640" w:firstLineChars="200"/>
        <w:jc w:val="both"/>
        <w:rPr>
          <w:rFonts w:ascii="仿宋" w:hAnsi="仿宋" w:eastAsia="仿宋" w:cs="Times New Roman"/>
          <w:sz w:val="32"/>
          <w:szCs w:val="32"/>
        </w:rPr>
      </w:pPr>
      <w:r>
        <w:rPr>
          <w:rFonts w:hint="eastAsia" w:ascii="仿宋" w:hAnsi="仿宋" w:eastAsia="仿宋"/>
          <w:sz w:val="32"/>
          <w:szCs w:val="32"/>
          <w:highlight w:val="white"/>
          <w:u w:val="none" w:color="46CD7E"/>
          <w:shd w:val="clear" w:fill="7F9698"/>
        </w:rPr>
        <w:t>（1）高标准完成了</w:t>
      </w:r>
      <w:r>
        <w:rPr>
          <w:rFonts w:hint="eastAsia" w:ascii="仿宋" w:hAnsi="仿宋" w:eastAsia="仿宋"/>
          <w:sz w:val="32"/>
          <w:szCs w:val="32"/>
          <w:highlight w:val="white"/>
          <w:u w:val="none" w:color="46CD7E"/>
          <w:shd w:val="clear" w:color="auto" w:fill="7F9698"/>
        </w:rPr>
        <w:t>柞园</w:t>
      </w:r>
      <w:r>
        <w:rPr>
          <w:rFonts w:hint="eastAsia" w:ascii="仿宋" w:hAnsi="仿宋" w:eastAsia="仿宋"/>
          <w:sz w:val="32"/>
          <w:szCs w:val="32"/>
          <w:highlight w:val="white"/>
          <w:u w:val="none" w:color="46CD7E"/>
          <w:shd w:val="clear" w:fill="7F9698"/>
        </w:rPr>
        <w:t>修整改造2000亩。</w:t>
      </w:r>
    </w:p>
    <w:p>
      <w:pPr>
        <w:pStyle w:val="16"/>
        <w:spacing w:line="560" w:lineRule="exact"/>
        <w:ind w:firstLine="640" w:firstLineChars="200"/>
        <w:jc w:val="both"/>
        <w:rPr>
          <w:rFonts w:ascii="仿宋" w:hAnsi="仿宋" w:eastAsia="仿宋" w:cs="Times New Roman"/>
          <w:sz w:val="32"/>
          <w:szCs w:val="32"/>
        </w:rPr>
      </w:pPr>
      <w:r>
        <w:rPr>
          <w:rFonts w:hint="eastAsia" w:ascii="仿宋" w:hAnsi="仿宋" w:eastAsia="仿宋"/>
          <w:sz w:val="32"/>
          <w:szCs w:val="32"/>
          <w:highlight w:val="white"/>
        </w:rPr>
        <w:t>（2）完成了春季14个柞蚕品种资源继代繁育。其中，母种川柞1号、川柞2号、川</w:t>
      </w:r>
      <w:r>
        <w:rPr>
          <w:rFonts w:hint="eastAsia" w:ascii="仿宋" w:hAnsi="仿宋" w:eastAsia="仿宋"/>
          <w:sz w:val="32"/>
          <w:szCs w:val="32"/>
          <w:highlight w:val="white"/>
          <w:vertAlign w:val="subscript"/>
        </w:rPr>
        <w:t>06</w:t>
      </w:r>
      <w:r>
        <w:rPr>
          <w:rFonts w:ascii="仿宋" w:hAnsi="仿宋" w:eastAsia="仿宋"/>
          <w:sz w:val="32"/>
          <w:szCs w:val="32"/>
          <w:highlight w:val="white"/>
          <w:u w:val="thick" w:color="46CD7E"/>
          <w:shd w:val="clear" w:color="auto" w:fill="DAF5E5"/>
        </w:rPr>
        <w:t>.</w:t>
      </w:r>
      <w:r>
        <w:rPr>
          <w:rFonts w:hint="eastAsia" w:ascii="仿宋" w:hAnsi="仿宋" w:eastAsia="仿宋"/>
          <w:sz w:val="32"/>
          <w:szCs w:val="32"/>
          <w:highlight w:val="white"/>
        </w:rPr>
        <w:t>河</w:t>
      </w:r>
      <w:r>
        <w:rPr>
          <w:rFonts w:hint="eastAsia" w:ascii="仿宋" w:hAnsi="仿宋" w:eastAsia="仿宋"/>
          <w:sz w:val="32"/>
          <w:szCs w:val="32"/>
          <w:highlight w:val="white"/>
          <w:vertAlign w:val="subscript"/>
        </w:rPr>
        <w:t>33</w:t>
      </w:r>
      <w:r>
        <w:rPr>
          <w:rFonts w:ascii="仿宋" w:hAnsi="仿宋" w:eastAsia="仿宋"/>
          <w:sz w:val="32"/>
          <w:szCs w:val="32"/>
          <w:highlight w:val="white"/>
          <w:u w:val="thick" w:color="46CD7E"/>
          <w:shd w:val="clear" w:color="auto" w:fill="DAF5E5"/>
        </w:rPr>
        <w:t>.</w:t>
      </w:r>
      <w:r>
        <w:rPr>
          <w:rFonts w:hint="eastAsia" w:ascii="仿宋" w:hAnsi="仿宋" w:eastAsia="仿宋"/>
          <w:sz w:val="32"/>
          <w:szCs w:val="32"/>
          <w:highlight w:val="white"/>
        </w:rPr>
        <w:t>辽</w:t>
      </w:r>
      <w:r>
        <w:rPr>
          <w:rFonts w:hint="eastAsia" w:ascii="仿宋" w:hAnsi="仿宋" w:eastAsia="仿宋"/>
          <w:sz w:val="32"/>
          <w:szCs w:val="32"/>
          <w:highlight w:val="white"/>
          <w:vertAlign w:val="subscript"/>
        </w:rPr>
        <w:t>2</w:t>
      </w:r>
      <w:r>
        <w:rPr>
          <w:rFonts w:ascii="仿宋" w:hAnsi="仿宋" w:eastAsia="仿宋"/>
          <w:sz w:val="32"/>
          <w:szCs w:val="32"/>
          <w:highlight w:val="white"/>
          <w:u w:val="thick" w:color="46CD7E"/>
          <w:shd w:val="clear" w:color="auto" w:fill="DAF5E5"/>
        </w:rPr>
        <w:t>.</w:t>
      </w:r>
      <w:r>
        <w:rPr>
          <w:rFonts w:hint="eastAsia" w:ascii="仿宋" w:hAnsi="仿宋" w:eastAsia="仿宋"/>
          <w:sz w:val="32"/>
          <w:szCs w:val="32"/>
          <w:highlight w:val="white"/>
        </w:rPr>
        <w:t>秋</w:t>
      </w:r>
      <w:r>
        <w:rPr>
          <w:rFonts w:hint="eastAsia" w:ascii="仿宋" w:hAnsi="仿宋" w:eastAsia="仿宋"/>
          <w:sz w:val="32"/>
          <w:szCs w:val="32"/>
          <w:highlight w:val="white"/>
          <w:vertAlign w:val="subscript"/>
        </w:rPr>
        <w:t>2</w:t>
      </w:r>
      <w:r>
        <w:rPr>
          <w:rFonts w:hint="eastAsia" w:ascii="仿宋" w:hAnsi="仿宋" w:eastAsia="仿宋"/>
          <w:sz w:val="32"/>
          <w:szCs w:val="32"/>
          <w:highlight w:val="white"/>
          <w:u w:val="none" w:color="46CD7E"/>
          <w:shd w:val="clear" w:fill="auto"/>
        </w:rPr>
        <w:t>、</w:t>
      </w:r>
      <w:r>
        <w:rPr>
          <w:rFonts w:hint="eastAsia" w:ascii="仿宋" w:hAnsi="仿宋" w:eastAsia="仿宋"/>
          <w:sz w:val="32"/>
          <w:szCs w:val="32"/>
          <w:highlight w:val="white"/>
        </w:rPr>
        <w:t>贵</w:t>
      </w:r>
      <w:r>
        <w:rPr>
          <w:rFonts w:hint="eastAsia" w:ascii="仿宋" w:hAnsi="仿宋" w:eastAsia="仿宋"/>
          <w:sz w:val="32"/>
          <w:szCs w:val="32"/>
          <w:highlight w:val="white"/>
          <w:vertAlign w:val="subscript"/>
        </w:rPr>
        <w:t>101</w:t>
      </w:r>
      <w:r>
        <w:rPr>
          <w:rFonts w:hint="eastAsia" w:ascii="仿宋" w:hAnsi="仿宋" w:eastAsia="仿宋"/>
          <w:sz w:val="32"/>
          <w:szCs w:val="32"/>
          <w:highlight w:val="white"/>
          <w:u w:val="none" w:color="46CD7E"/>
          <w:shd w:val="clear" w:fill="auto"/>
        </w:rPr>
        <w:t>、</w:t>
      </w:r>
      <w:r>
        <w:rPr>
          <w:rFonts w:hint="eastAsia" w:ascii="仿宋" w:hAnsi="仿宋" w:eastAsia="仿宋"/>
          <w:sz w:val="32"/>
          <w:szCs w:val="32"/>
          <w:highlight w:val="white"/>
        </w:rPr>
        <w:t>贵</w:t>
      </w:r>
      <w:r>
        <w:rPr>
          <w:rFonts w:hint="eastAsia" w:ascii="仿宋" w:hAnsi="仿宋" w:eastAsia="仿宋"/>
          <w:sz w:val="32"/>
          <w:szCs w:val="32"/>
          <w:highlight w:val="white"/>
          <w:vertAlign w:val="subscript"/>
        </w:rPr>
        <w:t>130</w:t>
      </w:r>
      <w:r>
        <w:rPr>
          <w:rFonts w:hint="eastAsia" w:ascii="仿宋" w:hAnsi="仿宋" w:eastAsia="仿宋"/>
          <w:sz w:val="32"/>
          <w:szCs w:val="32"/>
          <w:highlight w:val="white"/>
        </w:rPr>
        <w:t>，放养123区，生产合格种茧1.8万粒，单粒茧重11.8克；原种川柞</w:t>
      </w:r>
      <w:r>
        <w:rPr>
          <w:rFonts w:hint="eastAsia" w:ascii="仿宋" w:hAnsi="仿宋" w:eastAsia="仿宋"/>
          <w:sz w:val="32"/>
          <w:szCs w:val="32"/>
          <w:highlight w:val="white"/>
          <w:vertAlign w:val="subscript"/>
        </w:rPr>
        <w:t>1</w:t>
      </w:r>
      <w:r>
        <w:rPr>
          <w:rFonts w:hint="eastAsia" w:ascii="仿宋" w:hAnsi="仿宋" w:eastAsia="仿宋"/>
          <w:sz w:val="32"/>
          <w:szCs w:val="32"/>
          <w:highlight w:val="white"/>
        </w:rPr>
        <w:t>号、贵</w:t>
      </w:r>
      <w:r>
        <w:rPr>
          <w:rFonts w:hint="eastAsia" w:ascii="仿宋" w:hAnsi="仿宋" w:eastAsia="仿宋"/>
          <w:sz w:val="32"/>
          <w:szCs w:val="32"/>
          <w:highlight w:val="white"/>
          <w:vertAlign w:val="subscript"/>
        </w:rPr>
        <w:t>101</w:t>
      </w:r>
      <w:r>
        <w:rPr>
          <w:rFonts w:hint="eastAsia" w:ascii="仿宋" w:hAnsi="仿宋" w:eastAsia="仿宋"/>
          <w:sz w:val="32"/>
          <w:szCs w:val="32"/>
          <w:highlight w:val="white"/>
        </w:rPr>
        <w:t>，放养4区，生产合格种茧1.5万粒；试验新品种青柞</w:t>
      </w:r>
      <w:r>
        <w:rPr>
          <w:rFonts w:hint="eastAsia" w:ascii="仿宋" w:hAnsi="仿宋" w:eastAsia="仿宋"/>
          <w:sz w:val="32"/>
          <w:szCs w:val="32"/>
          <w:highlight w:val="white"/>
          <w:vertAlign w:val="subscript"/>
        </w:rPr>
        <w:t>1</w:t>
      </w:r>
      <w:r>
        <w:rPr>
          <w:rFonts w:hint="eastAsia" w:ascii="仿宋" w:hAnsi="仿宋" w:eastAsia="仿宋"/>
          <w:sz w:val="32"/>
          <w:szCs w:val="32"/>
          <w:highlight w:val="white"/>
        </w:rPr>
        <w:t>号、胶蓝</w:t>
      </w:r>
      <w:r>
        <w:rPr>
          <w:rFonts w:hint="eastAsia" w:ascii="仿宋" w:hAnsi="仿宋" w:eastAsia="仿宋"/>
          <w:sz w:val="32"/>
          <w:szCs w:val="32"/>
          <w:highlight w:val="white"/>
          <w:vertAlign w:val="subscript"/>
        </w:rPr>
        <w:t>1</w:t>
      </w:r>
      <w:r>
        <w:rPr>
          <w:rFonts w:hint="eastAsia" w:ascii="仿宋" w:hAnsi="仿宋" w:eastAsia="仿宋"/>
          <w:sz w:val="32"/>
          <w:szCs w:val="32"/>
          <w:highlight w:val="white"/>
        </w:rPr>
        <w:t>号，放养2区，生产合格种茧0.2万粒；引进品种随黄、吉柞</w:t>
      </w:r>
      <w:r>
        <w:rPr>
          <w:rFonts w:hint="eastAsia" w:ascii="仿宋" w:hAnsi="仿宋" w:eastAsia="仿宋"/>
          <w:sz w:val="32"/>
          <w:szCs w:val="32"/>
          <w:highlight w:val="white"/>
          <w:vertAlign w:val="subscript"/>
        </w:rPr>
        <w:t>889</w:t>
      </w:r>
      <w:r>
        <w:rPr>
          <w:rFonts w:hint="eastAsia" w:ascii="仿宋" w:hAnsi="仿宋" w:eastAsia="仿宋"/>
          <w:sz w:val="32"/>
          <w:szCs w:val="32"/>
          <w:highlight w:val="white"/>
          <w:u w:val="none" w:color="46CD7E"/>
          <w:shd w:val="clear" w:fill="auto"/>
        </w:rPr>
        <w:t>、</w:t>
      </w:r>
      <w:r>
        <w:rPr>
          <w:rFonts w:hint="eastAsia" w:ascii="仿宋" w:hAnsi="仿宋" w:eastAsia="仿宋"/>
          <w:sz w:val="32"/>
          <w:szCs w:val="32"/>
          <w:highlight w:val="white"/>
        </w:rPr>
        <w:t>吉柞</w:t>
      </w:r>
      <w:r>
        <w:rPr>
          <w:rFonts w:hint="eastAsia" w:ascii="仿宋" w:hAnsi="仿宋" w:eastAsia="仿宋"/>
          <w:sz w:val="32"/>
          <w:szCs w:val="32"/>
          <w:highlight w:val="white"/>
          <w:vertAlign w:val="subscript"/>
        </w:rPr>
        <w:t>109</w:t>
      </w:r>
      <w:r>
        <w:rPr>
          <w:rFonts w:hint="eastAsia" w:ascii="仿宋" w:hAnsi="仿宋" w:eastAsia="仿宋"/>
          <w:sz w:val="32"/>
          <w:szCs w:val="32"/>
          <w:highlight w:val="white"/>
          <w:u w:val="none" w:color="46CD7E"/>
          <w:shd w:val="clear" w:fill="auto"/>
        </w:rPr>
        <w:t>、</w:t>
      </w:r>
      <w:r>
        <w:rPr>
          <w:rFonts w:hint="eastAsia" w:ascii="仿宋" w:hAnsi="仿宋" w:eastAsia="仿宋"/>
          <w:sz w:val="32"/>
          <w:szCs w:val="32"/>
          <w:highlight w:val="white"/>
        </w:rPr>
        <w:t>吉柞</w:t>
      </w:r>
      <w:r>
        <w:rPr>
          <w:rFonts w:hint="eastAsia" w:ascii="仿宋" w:hAnsi="仿宋" w:eastAsia="仿宋"/>
          <w:sz w:val="32"/>
          <w:szCs w:val="32"/>
          <w:highlight w:val="white"/>
          <w:vertAlign w:val="subscript"/>
        </w:rPr>
        <w:t>选大4</w:t>
      </w:r>
      <w:r>
        <w:rPr>
          <w:rFonts w:hint="eastAsia" w:ascii="仿宋" w:hAnsi="仿宋" w:eastAsia="仿宋"/>
          <w:sz w:val="32"/>
          <w:szCs w:val="32"/>
          <w:highlight w:val="white"/>
        </w:rPr>
        <w:t>放养4区，产合格种茧0.5万粒。</w:t>
      </w:r>
    </w:p>
    <w:p>
      <w:pPr>
        <w:pStyle w:val="16"/>
        <w:spacing w:line="560" w:lineRule="exact"/>
        <w:ind w:firstLine="640" w:firstLineChars="200"/>
        <w:jc w:val="both"/>
        <w:rPr>
          <w:rFonts w:ascii="仿宋" w:hAnsi="仿宋" w:eastAsia="仿宋"/>
          <w:sz w:val="32"/>
          <w:szCs w:val="32"/>
          <w:highlight w:val="white"/>
        </w:rPr>
      </w:pPr>
      <w:r>
        <w:rPr>
          <w:rFonts w:hint="eastAsia" w:ascii="仿宋" w:hAnsi="仿宋" w:eastAsia="仿宋"/>
          <w:sz w:val="32"/>
          <w:szCs w:val="32"/>
          <w:highlight w:val="white"/>
        </w:rPr>
        <w:t>（3）完成秋季柞蚕品种继代保存及杂交种的试验繁育任务。其中，原种川柞1号、贵</w:t>
      </w:r>
      <w:r>
        <w:rPr>
          <w:rFonts w:hint="eastAsia" w:ascii="仿宋" w:hAnsi="仿宋" w:eastAsia="仿宋"/>
          <w:sz w:val="32"/>
          <w:szCs w:val="32"/>
          <w:highlight w:val="white"/>
          <w:vertAlign w:val="subscript"/>
        </w:rPr>
        <w:t>101</w:t>
      </w:r>
      <w:r>
        <w:rPr>
          <w:rFonts w:hint="eastAsia" w:ascii="仿宋" w:hAnsi="仿宋" w:eastAsia="仿宋"/>
          <w:sz w:val="32"/>
          <w:szCs w:val="32"/>
          <w:highlight w:val="white"/>
        </w:rPr>
        <w:t>放养2区，生产合格种茧2.2万粒，杂交种川柞1号</w:t>
      </w:r>
      <w:r>
        <w:rPr>
          <w:rFonts w:ascii="Arial" w:hAnsi="Arial" w:eastAsia="仿宋" w:cs="Arial"/>
          <w:sz w:val="32"/>
          <w:szCs w:val="32"/>
          <w:highlight w:val="white"/>
        </w:rPr>
        <w:t>×</w:t>
      </w:r>
      <w:r>
        <w:rPr>
          <w:rFonts w:hint="eastAsia" w:ascii="仿宋" w:hAnsi="仿宋" w:eastAsia="仿宋"/>
          <w:sz w:val="32"/>
          <w:szCs w:val="32"/>
          <w:highlight w:val="white"/>
        </w:rPr>
        <w:t>贵</w:t>
      </w:r>
      <w:r>
        <w:rPr>
          <w:rFonts w:hint="eastAsia" w:ascii="仿宋" w:hAnsi="仿宋" w:eastAsia="仿宋"/>
          <w:sz w:val="32"/>
          <w:szCs w:val="32"/>
          <w:highlight w:val="white"/>
          <w:vertAlign w:val="subscript"/>
        </w:rPr>
        <w:t>101</w:t>
      </w:r>
      <w:r>
        <w:rPr>
          <w:rFonts w:hint="eastAsia" w:ascii="仿宋" w:hAnsi="仿宋" w:eastAsia="仿宋"/>
          <w:sz w:val="32"/>
          <w:szCs w:val="32"/>
          <w:highlight w:val="white"/>
          <w:u w:val="thick" w:color="46CD7E"/>
          <w:shd w:val="clear" w:color="auto" w:fill="DAF5E5"/>
        </w:rPr>
        <w:t>试验</w:t>
      </w:r>
      <w:r>
        <w:rPr>
          <w:rFonts w:hint="eastAsia" w:ascii="仿宋" w:hAnsi="仿宋" w:eastAsia="仿宋"/>
          <w:sz w:val="32"/>
          <w:szCs w:val="32"/>
          <w:highlight w:val="white"/>
        </w:rPr>
        <w:t>繁育2区，生产合格种茧2万粒。</w:t>
      </w:r>
    </w:p>
    <w:p>
      <w:pPr>
        <w:pStyle w:val="16"/>
        <w:spacing w:line="560" w:lineRule="exact"/>
        <w:ind w:firstLine="640" w:firstLineChars="200"/>
        <w:jc w:val="both"/>
        <w:rPr>
          <w:rFonts w:ascii="仿宋" w:hAnsi="仿宋" w:eastAsia="仿宋" w:cs="Times New Roman"/>
          <w:sz w:val="32"/>
          <w:szCs w:val="32"/>
        </w:rPr>
      </w:pPr>
      <w:r>
        <w:rPr>
          <w:rFonts w:hint="eastAsia" w:ascii="仿宋" w:hAnsi="仿宋" w:eastAsia="仿宋"/>
          <w:sz w:val="32"/>
          <w:szCs w:val="32"/>
          <w:highlight w:val="white"/>
        </w:rPr>
        <w:t>（4）完成集团磨蛾显微镜检验1330个集团，其中单蛾集团1212蛾，双蛾集团6230蛾，20蛾集团19158蛾，微粒子带毒率母种为0，原种为0.85‰，低于国家标准。</w:t>
      </w:r>
    </w:p>
    <w:p>
      <w:pPr>
        <w:pStyle w:val="16"/>
        <w:spacing w:line="560" w:lineRule="exact"/>
        <w:ind w:firstLine="640" w:firstLineChars="200"/>
        <w:jc w:val="both"/>
        <w:rPr>
          <w:rFonts w:ascii="仿宋" w:hAnsi="仿宋" w:eastAsia="仿宋"/>
          <w:sz w:val="32"/>
          <w:szCs w:val="32"/>
          <w:highlight w:val="white"/>
        </w:rPr>
      </w:pPr>
      <w:r>
        <w:rPr>
          <w:rFonts w:hint="eastAsia" w:ascii="仿宋" w:hAnsi="仿宋" w:eastAsia="仿宋"/>
          <w:sz w:val="32"/>
          <w:szCs w:val="32"/>
          <w:highlight w:val="white"/>
        </w:rPr>
        <w:t>（5）制造完成巴州区、广元、达州生产用柞蚕种50斤，技术指导培训28人次，生产柞蚕茧1.3万公斤，产值117万元。</w:t>
      </w:r>
    </w:p>
    <w:p>
      <w:pPr>
        <w:pStyle w:val="16"/>
        <w:spacing w:line="560" w:lineRule="exact"/>
        <w:ind w:firstLine="640" w:firstLineChars="200"/>
        <w:jc w:val="both"/>
        <w:rPr>
          <w:rFonts w:ascii="仿宋" w:hAnsi="仿宋" w:eastAsia="仿宋"/>
          <w:sz w:val="32"/>
          <w:szCs w:val="32"/>
          <w:highlight w:val="white"/>
        </w:rPr>
      </w:pPr>
      <w:r>
        <w:rPr>
          <w:rFonts w:hint="eastAsia" w:ascii="仿宋" w:hAnsi="仿宋" w:eastAsia="仿宋"/>
          <w:sz w:val="32"/>
          <w:szCs w:val="32"/>
          <w:highlight w:val="white"/>
        </w:rPr>
        <w:t>（6）完成机动喷雾蝇蛆防治技术试验，防治面达100%,蝇蛆发病率控制在1‰以下，取得</w:t>
      </w:r>
      <w:r>
        <w:rPr>
          <w:rFonts w:hint="eastAsia" w:ascii="仿宋" w:hAnsi="仿宋" w:eastAsia="仿宋"/>
          <w:sz w:val="32"/>
          <w:szCs w:val="32"/>
          <w:highlight w:val="white"/>
          <w:u w:val="thick" w:color="46CD7E"/>
          <w:shd w:val="clear" w:color="auto" w:fill="DAF5E5"/>
        </w:rPr>
        <w:t>试验</w:t>
      </w:r>
      <w:r>
        <w:rPr>
          <w:rFonts w:hint="eastAsia" w:ascii="仿宋" w:hAnsi="仿宋" w:eastAsia="仿宋"/>
          <w:sz w:val="32"/>
          <w:szCs w:val="32"/>
          <w:highlight w:val="white"/>
        </w:rPr>
        <w:t>成功。</w:t>
      </w:r>
    </w:p>
    <w:p>
      <w:pPr>
        <w:pStyle w:val="17"/>
        <w:ind w:firstLine="643"/>
        <w:jc w:val="both"/>
        <w:rPr>
          <w:rFonts w:ascii="宋体" w:hAnsi="宋体" w:eastAsia="宋体"/>
          <w:b/>
          <w:bCs/>
          <w:color w:val="000000"/>
        </w:rPr>
      </w:pPr>
      <w:r>
        <w:rPr>
          <w:rFonts w:hint="eastAsia" w:ascii="宋体" w:hAnsi="宋体" w:eastAsia="宋体"/>
          <w:b/>
          <w:bCs/>
          <w:color w:val="000000"/>
        </w:rPr>
        <w:t>（二）强化技术创新，坚持交流合作</w:t>
      </w:r>
    </w:p>
    <w:p>
      <w:pPr>
        <w:pStyle w:val="16"/>
        <w:spacing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一年来，四川省蚕业管理总站、四川省丝绸科学研究院、河南省蚕业协会、河南省鲁山县、南召县蚕业局、湖北省随州柞蚕原种场、巴中市蚕业站、巴州区蚕业站、达州市蚕业站等专家先后到我场开展技术交流学习达100多人次。来访专家对我场的柞蚕品种特性、“一化二放”技术、小蚕保育技术、集团磨蛾镜检技术、机动喷雾柞园病虫害防治技术等给予高度肯定。我场技术人员在品种选育、柞蚕繁育、消毒防病、产品开发等方面得到提高。</w:t>
      </w:r>
    </w:p>
    <w:p>
      <w:pPr>
        <w:pStyle w:val="16"/>
        <w:spacing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4月13日，我场以原“川08”为亲本材料选育的“川柞3号”品种，通过了省家蚕品种审定委员会审定通过，并颁发了合格证书，成为全省审定通过的第三个柞蚕品种。</w:t>
      </w:r>
    </w:p>
    <w:p>
      <w:pPr>
        <w:pStyle w:val="16"/>
        <w:spacing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5月19日，由我场为主与四川省丝绸科学研究院合作完成的“柞蚕高效种养关键技术研究集成及示范”项目通过四川省科技厅组织的专家评价，该成果研究系统深入，方法先进，创新突出，整体达到国际先进水平，最终获得了2020年四川省科学技术进步三等奖。</w:t>
      </w:r>
    </w:p>
    <w:p>
      <w:pPr>
        <w:pStyle w:val="17"/>
        <w:ind w:firstLine="643"/>
        <w:jc w:val="both"/>
        <w:rPr>
          <w:rFonts w:ascii="宋体" w:hAnsi="宋体" w:eastAsia="宋体"/>
          <w:b/>
          <w:bCs/>
          <w:color w:val="000000"/>
        </w:rPr>
      </w:pPr>
      <w:r>
        <w:rPr>
          <w:rFonts w:hint="eastAsia" w:ascii="宋体" w:hAnsi="宋体" w:eastAsia="宋体"/>
          <w:b/>
          <w:bCs/>
          <w:color w:val="000000"/>
        </w:rPr>
        <w:t>（三）强化宣传引导，坚持新冠疫情防控</w:t>
      </w:r>
    </w:p>
    <w:p>
      <w:pPr>
        <w:pStyle w:val="16"/>
        <w:spacing w:line="560" w:lineRule="exact"/>
        <w:ind w:firstLine="640" w:firstLineChars="200"/>
        <w:jc w:val="both"/>
        <w:rPr>
          <w:rFonts w:ascii="仿宋" w:hAnsi="仿宋" w:eastAsia="仿宋" w:cs="Times New Roman"/>
          <w:sz w:val="32"/>
          <w:szCs w:val="32"/>
        </w:rPr>
      </w:pPr>
      <w:r>
        <w:rPr>
          <w:rFonts w:hint="eastAsia" w:ascii="仿宋" w:hAnsi="仿宋" w:eastAsia="仿宋" w:cs="Times New Roman"/>
          <w:color w:val="000000"/>
          <w:sz w:val="32"/>
          <w:szCs w:val="32"/>
        </w:rPr>
        <w:t>年初，新冠</w:t>
      </w:r>
      <w:r>
        <w:rPr>
          <w:rFonts w:hint="eastAsia" w:ascii="仿宋" w:hAnsi="仿宋" w:eastAsia="仿宋" w:cs="Times New Roman"/>
          <w:sz w:val="32"/>
          <w:szCs w:val="32"/>
        </w:rPr>
        <w:t>疫情突然</w:t>
      </w:r>
      <w:r>
        <w:rPr>
          <w:rFonts w:hint="eastAsia" w:ascii="仿宋" w:hAnsi="仿宋" w:eastAsia="仿宋" w:cs="Times New Roman"/>
          <w:sz w:val="32"/>
          <w:szCs w:val="32"/>
          <w:u w:val="thick" w:color="46CD7E"/>
          <w:shd w:val="clear" w:color="auto" w:fill="DAF5E5"/>
        </w:rPr>
        <w:t>暴发</w:t>
      </w:r>
      <w:r>
        <w:rPr>
          <w:rFonts w:hint="eastAsia" w:ascii="仿宋" w:hAnsi="仿宋" w:eastAsia="仿宋" w:cs="Times New Roman"/>
          <w:sz w:val="32"/>
          <w:szCs w:val="32"/>
        </w:rPr>
        <w:t>，我场积极响应中央及各级党委政府的决策部署，大力宣传引导人民群众认真做好疫情防控工作。我场干部职工积极协助单位所在地的陈河乡、村的防控工作，出动宣传车42台次，执勤排查车辆800余台，人员2300人次，得到陈河乡党委政府及群众的高度肯定。</w:t>
      </w:r>
    </w:p>
    <w:p>
      <w:pPr>
        <w:pStyle w:val="17"/>
        <w:ind w:firstLine="643"/>
        <w:jc w:val="both"/>
        <w:rPr>
          <w:rFonts w:ascii="宋体" w:hAnsi="宋体" w:eastAsia="宋体"/>
          <w:b/>
          <w:bCs/>
          <w:color w:val="000000"/>
        </w:rPr>
      </w:pPr>
      <w:r>
        <w:rPr>
          <w:rFonts w:hint="eastAsia" w:ascii="宋体" w:hAnsi="宋体" w:eastAsia="宋体"/>
          <w:b/>
          <w:bCs/>
          <w:color w:val="000000"/>
        </w:rPr>
        <w:t>（四）强化</w:t>
      </w:r>
      <w:r>
        <w:rPr>
          <w:rFonts w:hint="eastAsia" w:ascii="宋体" w:hAnsi="宋体" w:eastAsia="宋体"/>
          <w:b/>
          <w:bCs/>
          <w:color w:val="000000"/>
          <w:u w:val="thick" w:color="46CD7E"/>
          <w:shd w:val="clear" w:color="auto" w:fill="DAF5E5"/>
        </w:rPr>
        <w:t>脱贫攻坚</w:t>
      </w:r>
      <w:r>
        <w:rPr>
          <w:rFonts w:hint="eastAsia" w:ascii="宋体" w:hAnsi="宋体" w:eastAsia="宋体"/>
          <w:b/>
          <w:bCs/>
          <w:color w:val="000000"/>
        </w:rPr>
        <w:t>，坚持责任到人</w:t>
      </w:r>
    </w:p>
    <w:p>
      <w:pPr>
        <w:pStyle w:val="16"/>
        <w:spacing w:line="560" w:lineRule="exact"/>
        <w:ind w:firstLine="640" w:firstLineChars="200"/>
        <w:jc w:val="both"/>
        <w:rPr>
          <w:rFonts w:ascii="仿宋" w:hAnsi="仿宋" w:eastAsia="仿宋" w:cs="Times New Roman"/>
          <w:color w:val="000000"/>
          <w:sz w:val="32"/>
          <w:szCs w:val="32"/>
        </w:rPr>
      </w:pPr>
      <w:r>
        <w:rPr>
          <w:rFonts w:hint="eastAsia" w:ascii="仿宋" w:hAnsi="仿宋" w:eastAsia="仿宋"/>
          <w:color w:val="000000"/>
          <w:sz w:val="32"/>
          <w:szCs w:val="32"/>
        </w:rPr>
        <w:t>2021年，我场在县农业农村局的统一</w:t>
      </w:r>
      <w:r>
        <w:rPr>
          <w:rFonts w:hint="eastAsia" w:ascii="仿宋" w:hAnsi="仿宋" w:eastAsia="仿宋"/>
          <w:color w:val="000000"/>
          <w:sz w:val="32"/>
          <w:szCs w:val="32"/>
          <w:u w:val="thick" w:color="46CD7E"/>
          <w:shd w:val="clear" w:color="auto" w:fill="DAF5E5"/>
        </w:rPr>
        <w:t>部署</w:t>
      </w:r>
      <w:r>
        <w:rPr>
          <w:rFonts w:hint="eastAsia" w:ascii="仿宋" w:hAnsi="仿宋" w:eastAsia="仿宋"/>
          <w:color w:val="000000"/>
          <w:sz w:val="32"/>
          <w:szCs w:val="32"/>
        </w:rPr>
        <w:t>下，积极投入脱贫攻坚工作，年初，场成立了脱贫攻坚领导小组，制定了工作方案，明确了责任，严格考核。帮扶人员深入新场镇七家沟村、陈河镇李季坪村贫困户家中，宣讲扶贫政策，开展感恩教育，培养生活好习惯，培训蜜蜂、生猪养殖、银耳栽培等农业生产技术，帮助解决饮水困难、整理打扫环境内务等，共开展帮扶达200多人次，顺利通过了省脱贫攻坚检查，贫困户十分满意。</w:t>
      </w:r>
    </w:p>
    <w:p>
      <w:pPr>
        <w:pStyle w:val="17"/>
        <w:ind w:firstLine="643"/>
        <w:jc w:val="both"/>
        <w:rPr>
          <w:rFonts w:ascii="宋体" w:hAnsi="宋体" w:eastAsia="宋体"/>
          <w:b/>
          <w:bCs/>
          <w:color w:val="000000"/>
        </w:rPr>
      </w:pPr>
      <w:r>
        <w:rPr>
          <w:rFonts w:hint="eastAsia" w:ascii="宋体" w:hAnsi="宋体" w:eastAsia="宋体"/>
          <w:b/>
          <w:bCs/>
          <w:color w:val="000000"/>
        </w:rPr>
        <w:t>（五）强化灾后重建，坚持实用安全原则</w:t>
      </w:r>
    </w:p>
    <w:p>
      <w:pPr>
        <w:pStyle w:val="16"/>
        <w:spacing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u w:val="none" w:color="46CD7E"/>
          <w:shd w:val="clear" w:fill="auto"/>
        </w:rPr>
        <w:t>去年夏秋季洪灾，造成了我场生产生活用水设施设备、排水沟、柞园水管等严重损坏。</w:t>
      </w:r>
      <w:r>
        <w:rPr>
          <w:rFonts w:hint="eastAsia" w:ascii="仿宋" w:hAnsi="仿宋" w:eastAsia="仿宋"/>
          <w:color w:val="000000"/>
          <w:sz w:val="32"/>
          <w:szCs w:val="32"/>
        </w:rPr>
        <w:t>1-3月，我场根据实际情况，坚持实用安全原则，制定重建维修方案，修建提灌站1处，检查维修生产用水管道6公里，加固维修取水池6立方米，加固维修水沟300米，翻盖瓦房800平方米，投入资金达3万余元，确保了干部职工生产生活安全顺利。</w:t>
      </w:r>
    </w:p>
    <w:p>
      <w:pPr>
        <w:pStyle w:val="17"/>
        <w:ind w:firstLine="643"/>
        <w:jc w:val="both"/>
        <w:rPr>
          <w:rFonts w:ascii="宋体" w:hAnsi="宋体" w:eastAsia="宋体"/>
          <w:b/>
          <w:bCs/>
          <w:color w:val="000000"/>
        </w:rPr>
      </w:pPr>
      <w:r>
        <w:rPr>
          <w:rFonts w:hint="eastAsia" w:ascii="宋体" w:hAnsi="宋体" w:eastAsia="宋体"/>
          <w:b/>
          <w:bCs/>
          <w:color w:val="000000"/>
        </w:rPr>
        <w:t>（六）强化“不忘初心、牢记使命”主题教育，坚持反腐倡廉</w:t>
      </w:r>
    </w:p>
    <w:p>
      <w:pPr>
        <w:widowControl/>
        <w:spacing w:line="560" w:lineRule="exact"/>
        <w:ind w:firstLine="640" w:firstLineChars="200"/>
        <w:rPr>
          <w:rFonts w:ascii="仿宋" w:hAnsi="仿宋" w:eastAsia="仿宋"/>
          <w:kern w:val="0"/>
          <w:sz w:val="32"/>
          <w:szCs w:val="32"/>
        </w:rPr>
      </w:pPr>
      <w:r>
        <w:rPr>
          <w:rFonts w:hint="eastAsia" w:ascii="仿宋" w:hAnsi="仿宋" w:eastAsia="仿宋"/>
          <w:color w:val="000000"/>
          <w:sz w:val="32"/>
          <w:szCs w:val="32"/>
        </w:rPr>
        <w:t>一年来，我场干部职工深入学习党的十九大及四中、五中全会精神，持续扎实开展</w:t>
      </w:r>
      <w:r>
        <w:rPr>
          <w:rFonts w:hint="eastAsia" w:ascii="仿宋" w:hAnsi="仿宋" w:eastAsia="仿宋"/>
          <w:color w:val="000000"/>
          <w:sz w:val="32"/>
          <w:szCs w:val="32"/>
          <w:u w:val="thick" w:color="46CD7E"/>
          <w:shd w:val="clear" w:color="auto" w:fill="DAF5E5"/>
        </w:rPr>
        <w:t>“</w:t>
      </w:r>
      <w:r>
        <w:rPr>
          <w:rFonts w:hint="eastAsia" w:ascii="仿宋" w:hAnsi="仿宋" w:eastAsia="仿宋"/>
          <w:color w:val="000000"/>
          <w:sz w:val="32"/>
          <w:szCs w:val="32"/>
          <w:u w:val="none" w:color="46CD7E"/>
          <w:shd w:val="clear" w:color="auto" w:fill="DAF5E5"/>
          <w:lang w:eastAsia="zh-CN"/>
        </w:rPr>
        <w:t>不忘初心、牢记使命</w:t>
      </w:r>
      <w:r>
        <w:rPr>
          <w:rFonts w:hint="eastAsia" w:ascii="仿宋" w:hAnsi="仿宋" w:eastAsia="仿宋"/>
          <w:color w:val="000000"/>
          <w:sz w:val="32"/>
          <w:szCs w:val="32"/>
          <w:u w:val="thick" w:color="46CD7E"/>
          <w:shd w:val="clear" w:color="auto" w:fill="DAF5E5"/>
        </w:rPr>
        <w:t>”主题教育</w:t>
      </w:r>
      <w:r>
        <w:rPr>
          <w:rFonts w:hint="eastAsia" w:ascii="仿宋" w:hAnsi="仿宋" w:eastAsia="仿宋"/>
          <w:color w:val="000000"/>
          <w:sz w:val="32"/>
          <w:szCs w:val="32"/>
        </w:rPr>
        <w:t>，面对新形势，结合自身实际，加强党的建设工作，强化领导班子和职工队伍建设，召开党支部会议10次，通过学</w:t>
      </w:r>
      <w:r>
        <w:rPr>
          <w:rFonts w:hint="eastAsia" w:ascii="仿宋" w:hAnsi="仿宋" w:eastAsia="仿宋"/>
          <w:color w:val="000000"/>
          <w:sz w:val="32"/>
          <w:szCs w:val="32"/>
          <w:u w:val="thick" w:color="46CD7E"/>
          <w:shd w:val="clear" w:color="auto" w:fill="DAF5E5"/>
        </w:rPr>
        <w:t>《中国共产党章程》</w:t>
      </w:r>
      <w:r>
        <w:rPr>
          <w:rFonts w:hint="eastAsia" w:ascii="仿宋" w:hAnsi="仿宋" w:eastAsia="仿宋"/>
          <w:color w:val="000000"/>
          <w:sz w:val="32"/>
          <w:szCs w:val="32"/>
        </w:rPr>
        <w:t>、学《</w:t>
      </w:r>
      <w:r>
        <w:rPr>
          <w:rFonts w:hint="eastAsia" w:ascii="仿宋" w:hAnsi="仿宋" w:eastAsia="仿宋"/>
          <w:color w:val="000000"/>
          <w:sz w:val="32"/>
          <w:szCs w:val="32"/>
          <w:u w:val="thick" w:color="46CD7E"/>
          <w:shd w:val="clear" w:color="auto" w:fill="DAF5E5"/>
        </w:rPr>
        <w:t>中华人民共和国宪法</w:t>
      </w:r>
      <w:r>
        <w:rPr>
          <w:rFonts w:hint="eastAsia" w:ascii="仿宋" w:hAnsi="仿宋" w:eastAsia="仿宋"/>
          <w:color w:val="000000"/>
          <w:sz w:val="32"/>
          <w:szCs w:val="32"/>
        </w:rPr>
        <w:t>》、</w:t>
      </w:r>
      <w:r>
        <w:rPr>
          <w:rFonts w:hint="eastAsia" w:ascii="仿宋" w:hAnsi="仿宋" w:eastAsia="仿宋"/>
          <w:color w:val="000000"/>
          <w:sz w:val="32"/>
          <w:szCs w:val="32"/>
          <w:u w:val="thick" w:color="46CD7E"/>
          <w:shd w:val="clear" w:color="auto" w:fill="DAF5E5"/>
        </w:rPr>
        <w:t>重温入党誓词</w:t>
      </w:r>
      <w:r>
        <w:rPr>
          <w:rFonts w:hint="eastAsia" w:ascii="仿宋" w:hAnsi="仿宋" w:eastAsia="仿宋"/>
          <w:color w:val="000000"/>
          <w:sz w:val="32"/>
          <w:szCs w:val="32"/>
          <w:u w:val="none" w:color="46CD7E"/>
          <w:shd w:val="clear" w:fill="auto"/>
        </w:rPr>
        <w:t>》</w:t>
      </w:r>
      <w:r>
        <w:rPr>
          <w:rFonts w:hint="eastAsia" w:ascii="仿宋" w:hAnsi="仿宋" w:eastAsia="仿宋"/>
          <w:color w:val="000000"/>
          <w:sz w:val="32"/>
          <w:szCs w:val="32"/>
        </w:rPr>
        <w:t>，结合县委第三巡察组的巡察工作，坚定理想信念，树立社会主义核心价值观；召开民主生活会2次，开展批评与自我批评，进一步落实党风廉政建设“两个责任”主体，切实纠正“四风”， 严格遵守中央八项规定，省委十项规定，干部职工时刻保持纪律警醒。</w:t>
      </w:r>
      <w:r>
        <w:rPr>
          <w:rFonts w:ascii="仿宋" w:hAnsi="仿宋" w:eastAsia="仿宋"/>
          <w:sz w:val="32"/>
          <w:szCs w:val="32"/>
        </w:rPr>
        <w:br w:type="page"/>
      </w:r>
    </w:p>
    <w:p>
      <w:pPr>
        <w:pStyle w:val="4"/>
        <w:ind w:right="440"/>
        <w:jc w:val="center"/>
      </w:pPr>
      <w:bookmarkStart w:id="20" w:name="_Toc15377204"/>
      <w:bookmarkStart w:id="21" w:name="_Toc15396602"/>
      <w:bookmarkStart w:id="22" w:name="_Toc4637"/>
      <w:r>
        <w:rPr>
          <w:rFonts w:hint="eastAsia" w:ascii="黑体" w:hAnsi="黑体" w:eastAsia="黑体"/>
          <w:b w:val="0"/>
        </w:rPr>
        <w:t>第二部分 2021年度</w:t>
      </w:r>
      <w:r>
        <w:rPr>
          <w:rStyle w:val="14"/>
          <w:rFonts w:hint="eastAsia" w:ascii="黑体" w:hAnsi="黑体" w:eastAsia="黑体"/>
          <w:b w:val="0"/>
          <w:bCs/>
        </w:rPr>
        <w:t>单位决算情况说明</w:t>
      </w:r>
      <w:bookmarkEnd w:id="20"/>
      <w:bookmarkEnd w:id="21"/>
      <w:bookmarkEnd w:id="22"/>
    </w:p>
    <w:p>
      <w:pPr>
        <w:pStyle w:val="18"/>
        <w:numPr>
          <w:ilvl w:val="0"/>
          <w:numId w:val="1"/>
        </w:numPr>
        <w:spacing w:line="600" w:lineRule="exact"/>
        <w:ind w:firstLineChars="0"/>
        <w:outlineLvl w:val="1"/>
        <w:rPr>
          <w:rStyle w:val="15"/>
          <w:rFonts w:ascii="黑体" w:hAnsi="黑体" w:eastAsia="黑体"/>
          <w:b w:val="0"/>
        </w:rPr>
      </w:pPr>
      <w:bookmarkStart w:id="23" w:name="_Toc15377205"/>
      <w:bookmarkStart w:id="24" w:name="_Toc3671"/>
      <w:bookmarkStart w:id="25" w:name="_Toc15396603"/>
      <w:r>
        <w:rPr>
          <w:rFonts w:hint="eastAsia" w:ascii="黑体" w:hAnsi="黑体" w:eastAsia="黑体"/>
          <w:sz w:val="32"/>
          <w:szCs w:val="32"/>
        </w:rPr>
        <w:t>收</w:t>
      </w:r>
      <w:r>
        <w:rPr>
          <w:rStyle w:val="15"/>
          <w:rFonts w:hint="eastAsia" w:ascii="黑体" w:hAnsi="黑体" w:eastAsia="黑体"/>
          <w:b w:val="0"/>
        </w:rPr>
        <w:t>入支出决算总体情况说明</w:t>
      </w:r>
      <w:bookmarkEnd w:id="23"/>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2021年度收入总计143.57万元，支出总计146.68万元。与2020年相比，收入增加2.13万元，</w:t>
      </w:r>
      <w:r>
        <w:rPr>
          <w:rFonts w:hint="eastAsia" w:ascii="仿宋" w:hAnsi="仿宋" w:eastAsia="仿宋"/>
          <w:sz w:val="32"/>
          <w:szCs w:val="32"/>
          <w:u w:val="none" w:color="46CD7E"/>
          <w:shd w:val="clear" w:fill="auto"/>
        </w:rPr>
        <w:t>增长2.7</w:t>
      </w:r>
      <w:r>
        <w:rPr>
          <w:rFonts w:ascii="仿宋" w:hAnsi="仿宋" w:eastAsia="仿宋"/>
          <w:sz w:val="32"/>
          <w:szCs w:val="32"/>
          <w:u w:val="none" w:color="46CD7E"/>
          <w:shd w:val="clear" w:fill="auto"/>
        </w:rPr>
        <w:t>%</w:t>
      </w:r>
      <w:r>
        <w:rPr>
          <w:rFonts w:hint="eastAsia" w:ascii="仿宋" w:hAnsi="仿宋" w:eastAsia="仿宋"/>
          <w:sz w:val="32"/>
          <w:szCs w:val="32"/>
        </w:rPr>
        <w:t>、支出增加3.85万元，</w:t>
      </w:r>
      <w:r>
        <w:rPr>
          <w:rFonts w:hint="eastAsia" w:ascii="仿宋" w:hAnsi="仿宋" w:eastAsia="仿宋"/>
          <w:sz w:val="32"/>
          <w:szCs w:val="32"/>
          <w:u w:val="none" w:color="46CD7E"/>
          <w:shd w:val="clear" w:fill="auto"/>
        </w:rPr>
        <w:t>增长2.7</w:t>
      </w:r>
      <w:r>
        <w:rPr>
          <w:rFonts w:ascii="仿宋" w:hAnsi="仿宋" w:eastAsia="仿宋"/>
          <w:sz w:val="32"/>
          <w:szCs w:val="32"/>
          <w:u w:val="none" w:color="46CD7E"/>
          <w:shd w:val="clear" w:fill="auto"/>
        </w:rPr>
        <w:t>%</w:t>
      </w:r>
      <w:r>
        <w:rPr>
          <w:rFonts w:hint="eastAsia" w:ascii="仿宋" w:hAnsi="仿宋" w:eastAsia="仿宋"/>
          <w:sz w:val="32"/>
          <w:szCs w:val="32"/>
        </w:rPr>
        <w:t>。主要变动原因是人员减少，项目经费增加。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6"/>
        <w:spacing w:before="93"/>
      </w:pPr>
      <w:r>
        <w:drawing>
          <wp:inline distT="0" distB="0" distL="114300" distR="114300">
            <wp:extent cx="4572000" cy="31623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6"/>
        <w:spacing w:before="93"/>
      </w:pPr>
    </w:p>
    <w:p>
      <w:pPr>
        <w:pStyle w:val="18"/>
        <w:numPr>
          <w:ilvl w:val="0"/>
          <w:numId w:val="1"/>
        </w:numPr>
        <w:spacing w:line="600" w:lineRule="exact"/>
        <w:ind w:firstLineChars="0"/>
        <w:outlineLvl w:val="1"/>
        <w:rPr>
          <w:rStyle w:val="15"/>
          <w:rFonts w:ascii="黑体" w:hAnsi="黑体" w:eastAsia="黑体"/>
          <w:b w:val="0"/>
        </w:rPr>
      </w:pPr>
      <w:bookmarkStart w:id="26" w:name="_Toc13928"/>
      <w:bookmarkStart w:id="27" w:name="_Toc15377206"/>
      <w:bookmarkStart w:id="28" w:name="_Toc15396604"/>
      <w:r>
        <w:rPr>
          <w:rFonts w:hint="eastAsia" w:ascii="黑体" w:hAnsi="黑体" w:eastAsia="黑体"/>
          <w:sz w:val="32"/>
          <w:szCs w:val="32"/>
        </w:rPr>
        <w:t>收</w:t>
      </w:r>
      <w:r>
        <w:rPr>
          <w:rStyle w:val="15"/>
          <w:rFonts w:hint="eastAsia" w:ascii="黑体" w:hAnsi="黑体" w:eastAsia="黑体"/>
          <w:b w:val="0"/>
        </w:rPr>
        <w:t>入决算情况说明</w:t>
      </w:r>
      <w:bookmarkEnd w:id="26"/>
      <w:bookmarkEnd w:id="27"/>
      <w:bookmarkEnd w:id="28"/>
    </w:p>
    <w:p>
      <w:pPr>
        <w:spacing w:line="600" w:lineRule="exact"/>
        <w:ind w:firstLine="640" w:firstLineChars="200"/>
        <w:outlineLvl w:val="1"/>
        <w:rPr>
          <w:rFonts w:ascii="仿宋" w:hAnsi="仿宋" w:eastAsia="仿宋"/>
          <w:sz w:val="32"/>
          <w:szCs w:val="32"/>
        </w:rPr>
      </w:pPr>
      <w:bookmarkStart w:id="29" w:name="_Toc20583"/>
      <w:r>
        <w:rPr>
          <w:rFonts w:ascii="仿宋" w:hAnsi="仿宋" w:eastAsia="仿宋"/>
          <w:sz w:val="32"/>
          <w:szCs w:val="32"/>
        </w:rPr>
        <w:t>20</w:t>
      </w:r>
      <w:r>
        <w:rPr>
          <w:rFonts w:hint="eastAsia" w:ascii="仿宋" w:hAnsi="仿宋" w:eastAsia="仿宋"/>
          <w:sz w:val="32"/>
          <w:szCs w:val="32"/>
        </w:rPr>
        <w:t>21年本年收入合计143.57万元，其中：一般公共预算财政拨款收入142.62万元，占99.3</w:t>
      </w:r>
      <w:r>
        <w:rPr>
          <w:rFonts w:ascii="仿宋" w:hAnsi="仿宋" w:eastAsia="仿宋"/>
          <w:sz w:val="32"/>
          <w:szCs w:val="32"/>
        </w:rPr>
        <w:t>%</w:t>
      </w:r>
      <w:r>
        <w:rPr>
          <w:rFonts w:hint="eastAsia" w:ascii="仿宋" w:hAnsi="仿宋" w:eastAsia="仿宋"/>
          <w:sz w:val="32"/>
          <w:szCs w:val="32"/>
        </w:rPr>
        <w:t>；其他收入0.96万元，占0.7</w:t>
      </w:r>
      <w:r>
        <w:rPr>
          <w:rFonts w:ascii="仿宋" w:hAnsi="仿宋" w:eastAsia="仿宋"/>
          <w:sz w:val="32"/>
          <w:szCs w:val="32"/>
        </w:rPr>
        <w:t>%</w:t>
      </w:r>
      <w:r>
        <w:rPr>
          <w:rFonts w:hint="eastAsia" w:ascii="仿宋" w:hAnsi="仿宋" w:eastAsia="仿宋"/>
          <w:sz w:val="32"/>
          <w:szCs w:val="32"/>
        </w:rPr>
        <w:t>。</w:t>
      </w:r>
      <w:bookmarkEnd w:id="29"/>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6"/>
        <w:spacing w:before="93"/>
        <w:rPr>
          <w:rFonts w:ascii="仿宋" w:hAnsi="仿宋" w:eastAsia="仿宋"/>
          <w:sz w:val="32"/>
          <w:szCs w:val="32"/>
        </w:rPr>
      </w:pPr>
      <w:r>
        <w:drawing>
          <wp:inline distT="0" distB="0" distL="114300" distR="114300">
            <wp:extent cx="4307205" cy="2353310"/>
            <wp:effectExtent l="4445" t="5080" r="12700" b="22860"/>
            <wp:docPr id="2" name="图表 2" descr="7b0a202020202263686172745265734964223a2022323034373232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8"/>
        <w:numPr>
          <w:ilvl w:val="0"/>
          <w:numId w:val="1"/>
        </w:numPr>
        <w:spacing w:line="600" w:lineRule="exact"/>
        <w:ind w:firstLineChars="0"/>
        <w:outlineLvl w:val="1"/>
        <w:rPr>
          <w:rStyle w:val="15"/>
          <w:rFonts w:ascii="黑体" w:hAnsi="黑体" w:eastAsia="黑体"/>
          <w:b w:val="0"/>
        </w:rPr>
      </w:pPr>
      <w:bookmarkStart w:id="30" w:name="_Toc15396605"/>
      <w:bookmarkStart w:id="31" w:name="_Toc15377207"/>
      <w:bookmarkStart w:id="32" w:name="_Toc21126"/>
      <w:r>
        <w:rPr>
          <w:rFonts w:hint="eastAsia" w:ascii="黑体" w:hAnsi="黑体" w:eastAsia="黑体"/>
          <w:sz w:val="32"/>
          <w:szCs w:val="32"/>
        </w:rPr>
        <w:t>支</w:t>
      </w:r>
      <w:r>
        <w:rPr>
          <w:rStyle w:val="15"/>
          <w:rFonts w:hint="eastAsia" w:ascii="黑体" w:hAnsi="黑体" w:eastAsia="黑体"/>
          <w:b w:val="0"/>
        </w:rPr>
        <w:t>出决算情况说明</w:t>
      </w:r>
      <w:bookmarkEnd w:id="30"/>
      <w:bookmarkEnd w:id="31"/>
      <w:bookmarkEnd w:id="32"/>
    </w:p>
    <w:p>
      <w:pPr>
        <w:spacing w:line="600" w:lineRule="exact"/>
        <w:ind w:firstLine="640" w:firstLineChars="200"/>
        <w:outlineLvl w:val="1"/>
        <w:rPr>
          <w:rFonts w:ascii="仿宋" w:hAnsi="仿宋" w:eastAsia="仿宋"/>
          <w:sz w:val="32"/>
          <w:szCs w:val="32"/>
        </w:rPr>
      </w:pPr>
      <w:bookmarkStart w:id="33" w:name="_Toc1994"/>
      <w:r>
        <w:rPr>
          <w:rFonts w:ascii="仿宋" w:hAnsi="仿宋" w:eastAsia="仿宋"/>
          <w:sz w:val="32"/>
          <w:szCs w:val="32"/>
        </w:rPr>
        <w:t>20</w:t>
      </w:r>
      <w:r>
        <w:rPr>
          <w:rFonts w:hint="eastAsia" w:ascii="仿宋" w:hAnsi="仿宋" w:eastAsia="仿宋"/>
          <w:sz w:val="32"/>
          <w:szCs w:val="32"/>
        </w:rPr>
        <w:t>21年本年支出合计146.68万元，其中：基本支出115.08万元，占78</w:t>
      </w:r>
      <w:r>
        <w:rPr>
          <w:rFonts w:ascii="仿宋" w:hAnsi="仿宋" w:eastAsia="仿宋"/>
          <w:sz w:val="32"/>
          <w:szCs w:val="32"/>
        </w:rPr>
        <w:t>%</w:t>
      </w:r>
      <w:r>
        <w:rPr>
          <w:rFonts w:hint="eastAsia" w:ascii="仿宋" w:hAnsi="仿宋" w:eastAsia="仿宋"/>
          <w:sz w:val="32"/>
          <w:szCs w:val="32"/>
        </w:rPr>
        <w:t>；项目支出31.6万元，占22</w:t>
      </w:r>
      <w:r>
        <w:rPr>
          <w:rFonts w:ascii="仿宋" w:hAnsi="仿宋" w:eastAsia="仿宋"/>
          <w:sz w:val="32"/>
          <w:szCs w:val="32"/>
        </w:rPr>
        <w:t>%</w:t>
      </w:r>
      <w:r>
        <w:rPr>
          <w:rFonts w:hint="eastAsia" w:ascii="仿宋" w:hAnsi="仿宋" w:eastAsia="仿宋"/>
          <w:sz w:val="32"/>
          <w:szCs w:val="32"/>
        </w:rPr>
        <w:t>。</w:t>
      </w:r>
      <w:bookmarkEnd w:id="33"/>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pStyle w:val="6"/>
        <w:spacing w:before="93"/>
      </w:pPr>
      <w:r>
        <w:drawing>
          <wp:anchor distT="0" distB="0" distL="114300" distR="114300" simplePos="0" relativeHeight="251660288" behindDoc="0" locked="0" layoutInCell="1" allowOverlap="1">
            <wp:simplePos x="0" y="0"/>
            <wp:positionH relativeFrom="column">
              <wp:posOffset>242570</wp:posOffset>
            </wp:positionH>
            <wp:positionV relativeFrom="paragraph">
              <wp:posOffset>153670</wp:posOffset>
            </wp:positionV>
            <wp:extent cx="4363085" cy="2400935"/>
            <wp:effectExtent l="4445" t="4445" r="13970" b="13970"/>
            <wp:wrapSquare wrapText="bothSides"/>
            <wp:docPr id="3" name="图表 2" descr="7b0a202020202263686172745265734964223a2022323034373232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sz w:val="32"/>
          <w:szCs w:val="32"/>
        </w:rPr>
      </w:pPr>
      <w:bookmarkStart w:id="34" w:name="_Toc15396606"/>
      <w:bookmarkStart w:id="35" w:name="_Toc15377208"/>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outlineLvl w:val="1"/>
        <w:rPr>
          <w:rStyle w:val="15"/>
          <w:rFonts w:ascii="黑体" w:hAnsi="黑体" w:eastAsia="黑体"/>
          <w:b w:val="0"/>
        </w:rPr>
      </w:pPr>
      <w:bookmarkStart w:id="36" w:name="_Toc29001"/>
      <w:r>
        <w:rPr>
          <w:rFonts w:hint="eastAsia" w:ascii="黑体" w:hAnsi="黑体" w:eastAsia="黑体"/>
          <w:sz w:val="32"/>
          <w:szCs w:val="32"/>
          <w:u w:val="none" w:color="46CD7E"/>
          <w:shd w:val="clear" w:fill="auto"/>
        </w:rPr>
        <w:t>四、</w:t>
      </w:r>
      <w:r>
        <w:rPr>
          <w:rFonts w:hint="eastAsia" w:ascii="黑体" w:hAnsi="黑体" w:eastAsia="黑体"/>
          <w:sz w:val="32"/>
          <w:szCs w:val="32"/>
        </w:rPr>
        <w:t>财</w:t>
      </w:r>
      <w:r>
        <w:rPr>
          <w:rStyle w:val="15"/>
          <w:rFonts w:hint="eastAsia" w:ascii="黑体" w:hAnsi="黑体" w:eastAsia="黑体"/>
          <w:b w:val="0"/>
        </w:rPr>
        <w:t>政拨款收入支出决算总体情况说明</w:t>
      </w:r>
      <w:bookmarkEnd w:id="34"/>
      <w:bookmarkEnd w:id="35"/>
      <w:bookmarkEnd w:id="3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21年财政拨款收入总计</w:t>
      </w:r>
      <w:r>
        <w:rPr>
          <w:rFonts w:ascii="仿宋" w:hAnsi="仿宋" w:eastAsia="仿宋"/>
          <w:sz w:val="32"/>
          <w:szCs w:val="32"/>
          <w:u w:val="thick" w:color="46CD7E"/>
          <w:shd w:val="clear" w:color="auto" w:fill="DAF5E5"/>
        </w:rPr>
        <w:t>142.62万元</w:t>
      </w:r>
      <w:r>
        <w:rPr>
          <w:rFonts w:hint="eastAsia" w:ascii="仿宋" w:hAnsi="仿宋" w:eastAsia="仿宋"/>
          <w:sz w:val="32"/>
          <w:szCs w:val="32"/>
          <w:u w:color="46CD7E"/>
        </w:rPr>
        <w:t>、</w:t>
      </w:r>
      <w:r>
        <w:rPr>
          <w:rFonts w:hint="eastAsia" w:ascii="仿宋" w:hAnsi="仿宋" w:eastAsia="仿宋"/>
          <w:sz w:val="32"/>
          <w:szCs w:val="32"/>
        </w:rPr>
        <w:t>支出总计145.72万元。与</w:t>
      </w:r>
      <w:r>
        <w:rPr>
          <w:rFonts w:ascii="仿宋" w:hAnsi="仿宋" w:eastAsia="仿宋"/>
          <w:sz w:val="32"/>
          <w:szCs w:val="32"/>
        </w:rPr>
        <w:t>20</w:t>
      </w:r>
      <w:r>
        <w:rPr>
          <w:rFonts w:hint="eastAsia" w:ascii="仿宋" w:hAnsi="仿宋" w:eastAsia="仿宋"/>
          <w:sz w:val="32"/>
          <w:szCs w:val="32"/>
        </w:rPr>
        <w:t>20年相比，财政拨款收入增加6.95万元，增长4.8</w:t>
      </w:r>
      <w:r>
        <w:rPr>
          <w:rFonts w:ascii="仿宋" w:hAnsi="仿宋" w:eastAsia="仿宋"/>
          <w:sz w:val="32"/>
          <w:szCs w:val="32"/>
        </w:rPr>
        <w:t>%</w:t>
      </w:r>
      <w:r>
        <w:rPr>
          <w:rFonts w:hint="eastAsia" w:ascii="仿宋" w:hAnsi="仿宋" w:eastAsia="仿宋"/>
          <w:sz w:val="32"/>
          <w:szCs w:val="32"/>
        </w:rPr>
        <w:t>、支出增加5.55万元，增长</w:t>
      </w:r>
      <w:r>
        <w:rPr>
          <w:rFonts w:hint="eastAsia" w:ascii="仿宋" w:hAnsi="仿宋" w:eastAsia="仿宋"/>
          <w:sz w:val="32"/>
          <w:szCs w:val="32"/>
          <w:u w:val="none" w:color="46CD7E"/>
          <w:shd w:val="clear" w:fill="auto"/>
        </w:rPr>
        <w:t>,</w:t>
      </w:r>
      <w:r>
        <w:rPr>
          <w:rFonts w:hint="eastAsia" w:ascii="仿宋" w:hAnsi="仿宋" w:eastAsia="仿宋"/>
          <w:sz w:val="32"/>
          <w:szCs w:val="32"/>
        </w:rPr>
        <w:t>3.8</w:t>
      </w:r>
      <w:r>
        <w:rPr>
          <w:rFonts w:ascii="仿宋" w:hAnsi="仿宋" w:eastAsia="仿宋"/>
          <w:sz w:val="32"/>
          <w:szCs w:val="32"/>
        </w:rPr>
        <w:t>%</w:t>
      </w:r>
      <w:r>
        <w:rPr>
          <w:rFonts w:hint="eastAsia" w:ascii="仿宋" w:hAnsi="仿宋" w:eastAsia="仿宋"/>
          <w:sz w:val="32"/>
          <w:szCs w:val="32"/>
        </w:rPr>
        <w:t>。主要变动原因是项目经费增加。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pStyle w:val="6"/>
        <w:spacing w:before="93"/>
        <w:rPr>
          <w:rFonts w:ascii="仿宋" w:hAnsi="仿宋" w:eastAsia="仿宋"/>
          <w:b/>
          <w:sz w:val="32"/>
          <w:szCs w:val="32"/>
        </w:rPr>
      </w:pPr>
      <w:r>
        <w:rPr>
          <w:rFonts w:hint="eastAsia"/>
        </w:rPr>
        <w:t xml:space="preserve">  </w:t>
      </w:r>
      <w:r>
        <w:drawing>
          <wp:inline distT="0" distB="0" distL="114300" distR="114300">
            <wp:extent cx="4515485" cy="2668270"/>
            <wp:effectExtent l="4445" t="5080" r="13970" b="69850"/>
            <wp:docPr id="5" name="图表 3" descr="7b0a202020202263686172745265734964223a202232303437323034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15"/>
          <w:rFonts w:ascii="黑体" w:hAnsi="黑体" w:eastAsia="黑体"/>
          <w:b w:val="0"/>
        </w:rPr>
      </w:pPr>
      <w:bookmarkStart w:id="37" w:name="_Toc15396607"/>
      <w:bookmarkStart w:id="38" w:name="_Toc15377209"/>
      <w:bookmarkStart w:id="39" w:name="_Toc9303"/>
      <w:r>
        <w:rPr>
          <w:rFonts w:hint="eastAsia" w:ascii="黑体" w:hAnsi="黑体" w:eastAsia="黑体"/>
          <w:sz w:val="32"/>
          <w:szCs w:val="32"/>
        </w:rPr>
        <w:t>五、</w:t>
      </w:r>
      <w:r>
        <w:rPr>
          <w:rFonts w:hint="eastAsia" w:ascii="黑体" w:hAnsi="黑体" w:eastAsia="黑体"/>
          <w:b/>
          <w:sz w:val="32"/>
          <w:szCs w:val="32"/>
        </w:rPr>
        <w:t>一</w:t>
      </w:r>
      <w:r>
        <w:rPr>
          <w:rStyle w:val="15"/>
          <w:rFonts w:hint="eastAsia" w:ascii="黑体" w:hAnsi="黑体" w:eastAsia="黑体"/>
          <w:b w:val="0"/>
        </w:rPr>
        <w:t>般公共预算财政拨款支出决算情况说明</w:t>
      </w:r>
      <w:bookmarkEnd w:id="37"/>
      <w:bookmarkEnd w:id="38"/>
      <w:bookmarkEnd w:id="39"/>
    </w:p>
    <w:p>
      <w:pPr>
        <w:spacing w:line="600" w:lineRule="exact"/>
        <w:ind w:firstLine="643" w:firstLineChars="200"/>
        <w:outlineLvl w:val="2"/>
        <w:rPr>
          <w:rFonts w:ascii="仿宋" w:hAnsi="仿宋" w:eastAsia="仿宋"/>
          <w:b/>
          <w:sz w:val="32"/>
          <w:szCs w:val="32"/>
        </w:rPr>
      </w:pPr>
      <w:bookmarkStart w:id="40" w:name="_Toc15377210"/>
      <w:r>
        <w:rPr>
          <w:rFonts w:hint="eastAsia" w:ascii="仿宋" w:hAnsi="仿宋" w:eastAsia="仿宋"/>
          <w:b/>
          <w:sz w:val="32"/>
          <w:szCs w:val="32"/>
        </w:rPr>
        <w:t>（一）一般公共预算财政拨款支出决算总体情况</w:t>
      </w:r>
      <w:bookmarkEnd w:id="4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21年一般公共预算财政拨款支出145.72万元，占本年支出合计的102.17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20年相比，一般公共预算财政拨款支出增加5.55万元，增长3.8</w:t>
      </w:r>
      <w:r>
        <w:rPr>
          <w:rFonts w:ascii="仿宋" w:hAnsi="仿宋" w:eastAsia="仿宋"/>
          <w:sz w:val="32"/>
          <w:szCs w:val="32"/>
        </w:rPr>
        <w:t>%</w:t>
      </w:r>
      <w:r>
        <w:rPr>
          <w:rFonts w:hint="eastAsia" w:ascii="仿宋" w:hAnsi="仿宋" w:eastAsia="仿宋"/>
          <w:sz w:val="32"/>
          <w:szCs w:val="32"/>
        </w:rPr>
        <w:t>。主要变动原因是项目经费增加。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6"/>
        <w:spacing w:before="93"/>
      </w:pPr>
      <w:r>
        <w:drawing>
          <wp:inline distT="0" distB="0" distL="114300" distR="114300">
            <wp:extent cx="5240020" cy="2571750"/>
            <wp:effectExtent l="4445" t="4445" r="13335" b="14605"/>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3" w:firstLineChars="200"/>
        <w:outlineLvl w:val="2"/>
        <w:rPr>
          <w:rFonts w:ascii="仿宋" w:hAnsi="仿宋" w:eastAsia="仿宋"/>
          <w:b/>
          <w:sz w:val="32"/>
          <w:szCs w:val="32"/>
        </w:rPr>
      </w:pPr>
      <w:bookmarkStart w:id="41" w:name="_Toc15377211"/>
      <w:r>
        <w:rPr>
          <w:rFonts w:hint="eastAsia" w:ascii="仿宋" w:hAnsi="仿宋" w:eastAsia="仿宋"/>
          <w:b/>
          <w:sz w:val="32"/>
          <w:szCs w:val="32"/>
        </w:rPr>
        <w:t>（二）一般公共预算财政拨款支出决算结构情况</w:t>
      </w:r>
      <w:bookmarkEnd w:id="4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21年一般公共预算财政拨款支出145.72万元，主要用于以下方面</w:t>
      </w:r>
      <w:r>
        <w:rPr>
          <w:rFonts w:ascii="仿宋" w:hAnsi="仿宋" w:eastAsia="仿宋"/>
          <w:sz w:val="32"/>
          <w:szCs w:val="32"/>
          <w:u w:val="none" w:color="46CD7E"/>
          <w:shd w:val="clear" w:fill="auto"/>
        </w:rPr>
        <w:t>:</w:t>
      </w:r>
      <w:r>
        <w:rPr>
          <w:rFonts w:hint="eastAsia" w:ascii="仿宋" w:hAnsi="仿宋" w:eastAsia="仿宋"/>
          <w:b/>
          <w:sz w:val="32"/>
          <w:szCs w:val="32"/>
        </w:rPr>
        <w:t>农林水</w:t>
      </w:r>
      <w:r>
        <w:rPr>
          <w:rFonts w:hint="eastAsia" w:ascii="仿宋" w:hAnsi="仿宋" w:eastAsia="仿宋"/>
          <w:sz w:val="32"/>
          <w:szCs w:val="32"/>
        </w:rPr>
        <w:t>支出118.39万元，占81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支出15.07万元，占10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5.63万元，占4</w:t>
      </w:r>
      <w:r>
        <w:rPr>
          <w:rFonts w:ascii="仿宋" w:hAnsi="仿宋" w:eastAsia="仿宋"/>
          <w:sz w:val="32"/>
          <w:szCs w:val="32"/>
        </w:rPr>
        <w:t>%</w:t>
      </w:r>
      <w:r>
        <w:rPr>
          <w:rFonts w:hint="eastAsia" w:ascii="仿宋" w:hAnsi="仿宋" w:eastAsia="仿宋"/>
          <w:sz w:val="32"/>
          <w:szCs w:val="32"/>
        </w:rPr>
        <w:t>；住房保障支出6.64万元，占5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6"/>
        <w:spacing w:before="93"/>
        <w:rPr>
          <w:rFonts w:ascii="仿宋" w:hAnsi="仿宋" w:eastAsia="仿宋"/>
          <w:sz w:val="32"/>
          <w:szCs w:val="32"/>
        </w:rPr>
      </w:pPr>
      <w:r>
        <w:drawing>
          <wp:inline distT="0" distB="0" distL="114300" distR="114300">
            <wp:extent cx="3829685" cy="2486025"/>
            <wp:effectExtent l="4445" t="4445" r="13970" b="508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2" w:name="_Toc15377212"/>
      <w:r>
        <w:rPr>
          <w:rFonts w:hint="eastAsia" w:ascii="仿宋" w:hAnsi="仿宋" w:eastAsia="仿宋"/>
          <w:b/>
          <w:sz w:val="32"/>
          <w:szCs w:val="32"/>
        </w:rPr>
        <w:t>（三）一般公共预算财政拨款支出决算具体情况</w:t>
      </w:r>
      <w:bookmarkEnd w:id="42"/>
    </w:p>
    <w:p>
      <w:pPr>
        <w:spacing w:line="600" w:lineRule="exact"/>
        <w:ind w:firstLine="643" w:firstLineChars="200"/>
        <w:outlineLvl w:val="2"/>
        <w:rPr>
          <w:rFonts w:ascii="仿宋" w:hAnsi="仿宋" w:eastAsia="仿宋"/>
          <w:sz w:val="32"/>
          <w:szCs w:val="32"/>
        </w:rPr>
      </w:pPr>
      <w:bookmarkStart w:id="43" w:name="_Toc15377213"/>
      <w:bookmarkStart w:id="44" w:name="_Toc15378460"/>
      <w:bookmarkStart w:id="45" w:name="_Toc15377444"/>
      <w:r>
        <w:rPr>
          <w:rFonts w:hint="eastAsia" w:ascii="仿宋" w:hAnsi="仿宋" w:eastAsia="仿宋"/>
          <w:b/>
          <w:sz w:val="32"/>
          <w:szCs w:val="32"/>
        </w:rPr>
        <w:t>2021年一般公共预算支出决算数为142.62</w:t>
      </w:r>
      <w:r>
        <w:rPr>
          <w:rFonts w:hint="eastAsia" w:ascii="仿宋" w:hAnsi="仿宋" w:eastAsia="仿宋"/>
          <w:sz w:val="32"/>
          <w:szCs w:val="32"/>
        </w:rPr>
        <w:t>，</w:t>
      </w:r>
      <w:r>
        <w:rPr>
          <w:rStyle w:val="13"/>
          <w:rFonts w:hint="eastAsia" w:ascii="仿宋" w:hAnsi="仿宋" w:eastAsia="仿宋"/>
          <w:bCs/>
          <w:sz w:val="32"/>
          <w:szCs w:val="32"/>
        </w:rPr>
        <w:t>完成预算102.17</w:t>
      </w:r>
      <w:r>
        <w:rPr>
          <w:rStyle w:val="13"/>
          <w:rFonts w:ascii="仿宋" w:hAnsi="仿宋" w:eastAsia="仿宋"/>
          <w:bCs/>
          <w:sz w:val="32"/>
          <w:szCs w:val="32"/>
        </w:rPr>
        <w:t>%</w:t>
      </w:r>
      <w:r>
        <w:rPr>
          <w:rStyle w:val="13"/>
          <w:rFonts w:hint="eastAsia" w:ascii="仿宋" w:hAnsi="仿宋" w:eastAsia="仿宋"/>
          <w:bCs/>
          <w:sz w:val="32"/>
          <w:szCs w:val="32"/>
        </w:rPr>
        <w:t>。其中</w:t>
      </w:r>
      <w:r>
        <w:rPr>
          <w:rStyle w:val="13"/>
          <w:rFonts w:hint="eastAsia" w:ascii="仿宋" w:hAnsi="仿宋" w:eastAsia="仿宋"/>
          <w:bCs/>
          <w:sz w:val="32"/>
          <w:szCs w:val="32"/>
          <w:u w:val="none" w:color="46CD7E"/>
          <w:shd w:val="clear" w:fill="auto"/>
        </w:rPr>
        <w:t>：</w:t>
      </w:r>
      <w:bookmarkEnd w:id="43"/>
      <w:bookmarkEnd w:id="44"/>
      <w:bookmarkEnd w:id="45"/>
    </w:p>
    <w:p>
      <w:pPr>
        <w:spacing w:line="600" w:lineRule="exact"/>
        <w:ind w:firstLine="643" w:firstLineChars="200"/>
        <w:rPr>
          <w:rFonts w:ascii="仿宋" w:hAnsi="仿宋" w:eastAsia="仿宋"/>
          <w:b/>
          <w:sz w:val="32"/>
          <w:szCs w:val="32"/>
        </w:rPr>
      </w:pPr>
      <w:r>
        <w:rPr>
          <w:rStyle w:val="13"/>
          <w:rFonts w:ascii="仿宋" w:hAnsi="仿宋" w:eastAsia="仿宋"/>
          <w:bCs/>
          <w:sz w:val="32"/>
          <w:szCs w:val="32"/>
        </w:rPr>
        <w:t>1.</w:t>
      </w:r>
      <w:r>
        <w:rPr>
          <w:rStyle w:val="13"/>
          <w:rFonts w:hint="eastAsia" w:ascii="仿宋" w:hAnsi="仿宋" w:eastAsia="仿宋"/>
          <w:bCs/>
          <w:sz w:val="32"/>
          <w:szCs w:val="32"/>
        </w:rPr>
        <w:t>农林水（类）</w:t>
      </w:r>
      <w:r>
        <w:rPr>
          <w:rStyle w:val="13"/>
          <w:rFonts w:ascii="仿宋" w:hAnsi="仿宋" w:eastAsia="仿宋"/>
          <w:bCs/>
          <w:sz w:val="32"/>
          <w:szCs w:val="32"/>
        </w:rPr>
        <w:t>:</w:t>
      </w:r>
      <w:r>
        <w:rPr>
          <w:rStyle w:val="13"/>
          <w:rFonts w:ascii="仿宋" w:hAnsi="仿宋" w:eastAsia="仿宋"/>
          <w:b w:val="0"/>
          <w:bCs/>
          <w:sz w:val="32"/>
          <w:szCs w:val="32"/>
        </w:rPr>
        <w:t xml:space="preserve"> </w:t>
      </w:r>
      <w:r>
        <w:rPr>
          <w:rStyle w:val="13"/>
          <w:rFonts w:hint="eastAsia" w:ascii="仿宋" w:hAnsi="仿宋" w:eastAsia="仿宋"/>
          <w:b w:val="0"/>
          <w:bCs/>
          <w:sz w:val="32"/>
          <w:szCs w:val="32"/>
        </w:rPr>
        <w:t>支出决算为118.38万元，完成预算102.69</w:t>
      </w:r>
      <w:r>
        <w:rPr>
          <w:rStyle w:val="13"/>
          <w:rFonts w:ascii="仿宋" w:hAnsi="仿宋" w:eastAsia="仿宋"/>
          <w:b w:val="0"/>
          <w:bCs/>
          <w:sz w:val="32"/>
          <w:szCs w:val="32"/>
        </w:rPr>
        <w:t>%</w:t>
      </w:r>
      <w:r>
        <w:rPr>
          <w:rStyle w:val="13"/>
          <w:rFonts w:hint="eastAsia" w:ascii="仿宋" w:hAnsi="仿宋" w:eastAsia="仿宋"/>
          <w:b w:val="0"/>
          <w:bCs/>
          <w:sz w:val="32"/>
          <w:szCs w:val="32"/>
        </w:rPr>
        <w:t>，决算数大于预算数的主要原因是省级财政项目拨款。</w:t>
      </w:r>
    </w:p>
    <w:p>
      <w:pPr>
        <w:spacing w:line="600" w:lineRule="exact"/>
        <w:ind w:firstLine="643" w:firstLineChars="200"/>
        <w:rPr>
          <w:rFonts w:ascii="仿宋" w:hAnsi="仿宋" w:eastAsia="仿宋"/>
          <w:b/>
          <w:sz w:val="32"/>
          <w:szCs w:val="32"/>
        </w:rPr>
      </w:pPr>
      <w:r>
        <w:rPr>
          <w:rStyle w:val="13"/>
          <w:rFonts w:hint="eastAsia" w:ascii="仿宋" w:hAnsi="仿宋" w:eastAsia="仿宋"/>
          <w:bCs/>
          <w:sz w:val="32"/>
          <w:szCs w:val="32"/>
        </w:rPr>
        <w:t>2</w:t>
      </w:r>
      <w:r>
        <w:rPr>
          <w:rStyle w:val="13"/>
          <w:rFonts w:ascii="仿宋" w:hAnsi="仿宋" w:eastAsia="仿宋"/>
          <w:bCs/>
          <w:sz w:val="32"/>
          <w:szCs w:val="32"/>
        </w:rPr>
        <w:t>.</w:t>
      </w:r>
      <w:r>
        <w:rPr>
          <w:rStyle w:val="13"/>
          <w:rFonts w:hint="eastAsia" w:ascii="仿宋" w:hAnsi="仿宋" w:eastAsia="仿宋"/>
          <w:bCs/>
          <w:sz w:val="32"/>
          <w:szCs w:val="32"/>
        </w:rPr>
        <w:t>社会保障和就业（类）</w:t>
      </w:r>
      <w:r>
        <w:rPr>
          <w:rStyle w:val="13"/>
          <w:rFonts w:ascii="仿宋" w:hAnsi="仿宋" w:eastAsia="仿宋"/>
          <w:bCs/>
          <w:sz w:val="32"/>
          <w:szCs w:val="32"/>
        </w:rPr>
        <w:t>:</w:t>
      </w:r>
      <w:r>
        <w:rPr>
          <w:rStyle w:val="13"/>
          <w:rFonts w:ascii="仿宋" w:hAnsi="仿宋" w:eastAsia="仿宋"/>
          <w:b w:val="0"/>
          <w:bCs/>
          <w:sz w:val="32"/>
          <w:szCs w:val="32"/>
        </w:rPr>
        <w:t xml:space="preserve"> </w:t>
      </w:r>
      <w:r>
        <w:rPr>
          <w:rStyle w:val="13"/>
          <w:rFonts w:hint="eastAsia" w:ascii="仿宋" w:hAnsi="仿宋" w:eastAsia="仿宋"/>
          <w:b w:val="0"/>
          <w:bCs/>
          <w:sz w:val="32"/>
          <w:szCs w:val="32"/>
        </w:rPr>
        <w:t>支出决算为15.07万元，完成预算100</w:t>
      </w:r>
      <w:r>
        <w:rPr>
          <w:rStyle w:val="13"/>
          <w:rFonts w:ascii="仿宋" w:hAnsi="仿宋" w:eastAsia="仿宋"/>
          <w:b w:val="0"/>
          <w:bCs/>
          <w:sz w:val="32"/>
          <w:szCs w:val="32"/>
        </w:rPr>
        <w:t>%</w:t>
      </w:r>
      <w:r>
        <w:rPr>
          <w:rStyle w:val="13"/>
          <w:rFonts w:hint="eastAsia" w:ascii="仿宋" w:hAnsi="仿宋" w:eastAsia="仿宋"/>
          <w:b w:val="0"/>
          <w:bCs/>
          <w:sz w:val="32"/>
          <w:szCs w:val="32"/>
        </w:rPr>
        <w:t>。</w:t>
      </w:r>
    </w:p>
    <w:p>
      <w:pPr>
        <w:spacing w:line="600" w:lineRule="exact"/>
        <w:ind w:firstLine="643" w:firstLineChars="200"/>
        <w:rPr>
          <w:rStyle w:val="13"/>
          <w:rFonts w:ascii="仿宋" w:hAnsi="仿宋" w:eastAsia="仿宋"/>
          <w:b w:val="0"/>
          <w:bCs/>
          <w:sz w:val="32"/>
          <w:szCs w:val="32"/>
        </w:rPr>
      </w:pPr>
      <w:r>
        <w:rPr>
          <w:rStyle w:val="13"/>
          <w:rFonts w:hint="eastAsia" w:ascii="仿宋" w:hAnsi="仿宋" w:eastAsia="仿宋"/>
          <w:bCs/>
          <w:sz w:val="32"/>
          <w:szCs w:val="32"/>
        </w:rPr>
        <w:t>3</w:t>
      </w:r>
      <w:r>
        <w:rPr>
          <w:rStyle w:val="13"/>
          <w:rFonts w:ascii="仿宋" w:hAnsi="仿宋" w:eastAsia="仿宋"/>
          <w:bCs/>
          <w:sz w:val="32"/>
          <w:szCs w:val="32"/>
        </w:rPr>
        <w:t>.</w:t>
      </w:r>
      <w:r>
        <w:rPr>
          <w:rFonts w:hint="eastAsia" w:ascii="仿宋" w:hAnsi="仿宋" w:eastAsia="仿宋"/>
          <w:b/>
          <w:bCs/>
          <w:sz w:val="32"/>
          <w:szCs w:val="32"/>
        </w:rPr>
        <w:t>卫生健康</w:t>
      </w:r>
      <w:r>
        <w:rPr>
          <w:rStyle w:val="13"/>
          <w:rFonts w:hint="eastAsia" w:ascii="仿宋" w:hAnsi="仿宋" w:eastAsia="仿宋"/>
          <w:bCs/>
          <w:sz w:val="32"/>
          <w:szCs w:val="32"/>
        </w:rPr>
        <w:t>（类）</w:t>
      </w:r>
      <w:r>
        <w:rPr>
          <w:rStyle w:val="13"/>
          <w:rFonts w:ascii="仿宋" w:hAnsi="仿宋" w:eastAsia="仿宋"/>
          <w:bCs/>
          <w:sz w:val="32"/>
          <w:szCs w:val="32"/>
        </w:rPr>
        <w:t>:</w:t>
      </w:r>
      <w:r>
        <w:rPr>
          <w:rStyle w:val="13"/>
          <w:rFonts w:hint="eastAsia" w:ascii="仿宋" w:hAnsi="仿宋" w:eastAsia="仿宋"/>
          <w:b w:val="0"/>
          <w:bCs/>
          <w:sz w:val="32"/>
          <w:szCs w:val="32"/>
        </w:rPr>
        <w:t>支出决算为5.63万元，完成预算100</w:t>
      </w:r>
      <w:r>
        <w:rPr>
          <w:rStyle w:val="13"/>
          <w:rFonts w:ascii="仿宋" w:hAnsi="仿宋" w:eastAsia="仿宋"/>
          <w:b w:val="0"/>
          <w:bCs/>
          <w:sz w:val="32"/>
          <w:szCs w:val="32"/>
        </w:rPr>
        <w:t>%</w:t>
      </w:r>
      <w:r>
        <w:rPr>
          <w:rStyle w:val="13"/>
          <w:rFonts w:hint="eastAsia" w:ascii="仿宋" w:hAnsi="仿宋" w:eastAsia="仿宋"/>
          <w:b w:val="0"/>
          <w:bCs/>
          <w:sz w:val="32"/>
          <w:szCs w:val="32"/>
        </w:rPr>
        <w:t>。</w:t>
      </w:r>
    </w:p>
    <w:p>
      <w:pPr>
        <w:pStyle w:val="6"/>
        <w:spacing w:before="93"/>
        <w:ind w:firstLine="640" w:firstLineChars="200"/>
        <w:rPr>
          <w:rFonts w:eastAsia="仿宋"/>
        </w:rPr>
      </w:pPr>
      <w:r>
        <w:rPr>
          <w:rStyle w:val="13"/>
          <w:rFonts w:hint="eastAsia" w:ascii="仿宋" w:hAnsi="仿宋" w:eastAsia="仿宋"/>
          <w:b w:val="0"/>
          <w:bCs/>
          <w:sz w:val="32"/>
          <w:szCs w:val="32"/>
        </w:rPr>
        <w:t>4.住房保障（类）：支出决算为6.64万元，完成预算100</w:t>
      </w:r>
      <w:r>
        <w:rPr>
          <w:rStyle w:val="13"/>
          <w:rFonts w:ascii="仿宋" w:hAnsi="仿宋" w:eastAsia="仿宋"/>
          <w:b w:val="0"/>
          <w:bCs/>
          <w:sz w:val="32"/>
          <w:szCs w:val="32"/>
        </w:rPr>
        <w:t>%</w:t>
      </w:r>
      <w:r>
        <w:rPr>
          <w:rStyle w:val="13"/>
          <w:rFonts w:hint="eastAsia" w:ascii="仿宋" w:hAnsi="仿宋" w:eastAsia="仿宋"/>
          <w:b w:val="0"/>
          <w:bCs/>
          <w:sz w:val="32"/>
          <w:szCs w:val="32"/>
        </w:rPr>
        <w:t>。</w:t>
      </w:r>
    </w:p>
    <w:p>
      <w:pPr>
        <w:tabs>
          <w:tab w:val="right" w:pos="8306"/>
        </w:tabs>
        <w:spacing w:line="600" w:lineRule="exact"/>
        <w:ind w:firstLine="640"/>
        <w:outlineLvl w:val="1"/>
        <w:rPr>
          <w:rStyle w:val="15"/>
        </w:rPr>
      </w:pPr>
      <w:bookmarkStart w:id="46" w:name="_Toc15396608"/>
      <w:bookmarkStart w:id="47" w:name="_Toc23098"/>
      <w:bookmarkStart w:id="48"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5"/>
          <w:rFonts w:hint="eastAsia" w:ascii="黑体" w:hAnsi="黑体" w:eastAsia="黑体"/>
          <w:b w:val="0"/>
        </w:rPr>
        <w:t>般公共预算财政拨款基本支出决算情况说明</w:t>
      </w:r>
      <w:bookmarkEnd w:id="46"/>
      <w:bookmarkEnd w:id="47"/>
      <w:bookmarkEnd w:id="48"/>
      <w:r>
        <w:rPr>
          <w:rStyle w:val="1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21年一般公共预算财政拨款基本支出114.12万元，其中：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100.17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13.95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5"/>
          <w:rFonts w:ascii="黑体" w:hAnsi="黑体" w:eastAsia="黑体"/>
          <w:b w:val="0"/>
        </w:rPr>
      </w:pPr>
      <w:bookmarkStart w:id="49" w:name="_Toc15396609"/>
      <w:bookmarkStart w:id="50" w:name="_Toc15377215"/>
      <w:bookmarkStart w:id="51" w:name="_Toc12890"/>
      <w:r>
        <w:rPr>
          <w:rFonts w:hint="eastAsia" w:ascii="黑体" w:eastAsia="黑体"/>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49"/>
      <w:bookmarkEnd w:id="50"/>
      <w:bookmarkEnd w:id="51"/>
    </w:p>
    <w:p>
      <w:pPr>
        <w:spacing w:line="600" w:lineRule="exact"/>
        <w:ind w:firstLine="640"/>
        <w:outlineLvl w:val="2"/>
        <w:rPr>
          <w:rFonts w:ascii="仿宋" w:hAnsi="仿宋" w:eastAsia="仿宋"/>
          <w:b/>
          <w:sz w:val="32"/>
          <w:szCs w:val="32"/>
        </w:rPr>
      </w:pPr>
      <w:bookmarkStart w:id="52" w:name="_Toc15377216"/>
      <w:r>
        <w:rPr>
          <w:rFonts w:hint="eastAsia" w:ascii="仿宋" w:hAnsi="仿宋" w:eastAsia="仿宋"/>
          <w:b/>
          <w:sz w:val="32"/>
          <w:szCs w:val="32"/>
          <w:u w:val="none" w:color="46CD7E"/>
          <w:shd w:val="clear" w:color="auto" w:fill="FFEFD8"/>
        </w:rPr>
        <w:t>（一）</w:t>
      </w:r>
      <w:r>
        <w:rPr>
          <w:rFonts w:hint="eastAsia" w:ascii="仿宋" w:hAnsi="仿宋" w:eastAsia="仿宋"/>
          <w:b/>
          <w:sz w:val="32"/>
          <w:szCs w:val="32"/>
        </w:rPr>
        <w:t>“三公”经费财政拨款支出决算总体情况说明</w:t>
      </w:r>
      <w:bookmarkEnd w:id="5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21年“三公”经费财政拨款支出决算为0.35万元，完成预算100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3" w:name="_Toc15377217"/>
      <w:r>
        <w:rPr>
          <w:rFonts w:hint="eastAsia" w:ascii="仿宋" w:hAnsi="仿宋" w:eastAsia="仿宋"/>
          <w:b/>
          <w:sz w:val="32"/>
          <w:szCs w:val="32"/>
        </w:rPr>
        <w:t>（二）“三公”经费财政拨款支出决算具体情况说明</w:t>
      </w:r>
      <w:bookmarkEnd w:id="5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21年“三公”经费财政拨款支出决算中，因公出国（境）费支出决算0万元；公务用车购置及运行维护费支出决算0万元；公务接待费支出决算0.35万元，占100</w:t>
      </w:r>
      <w:r>
        <w:rPr>
          <w:rFonts w:ascii="仿宋" w:hAnsi="仿宋" w:eastAsia="仿宋"/>
          <w:sz w:val="32"/>
          <w:szCs w:val="32"/>
        </w:rPr>
        <w:t>%</w:t>
      </w:r>
      <w:r>
        <w:rPr>
          <w:rFonts w:hint="eastAsia" w:ascii="仿宋" w:hAnsi="仿宋" w:eastAsia="仿宋"/>
          <w:sz w:val="32"/>
          <w:szCs w:val="32"/>
        </w:rPr>
        <w:t>。具体情况如下</w:t>
      </w:r>
      <w:r>
        <w:rPr>
          <w:rFonts w:hint="eastAsia" w:ascii="仿宋" w:hAnsi="仿宋" w:eastAsia="仿宋"/>
          <w:sz w:val="32"/>
          <w:szCs w:val="32"/>
          <w:u w:val="none" w:color="46CD7E"/>
          <w:shd w:val="clear" w:fill="auto"/>
        </w:rPr>
        <w:t>：</w:t>
      </w:r>
    </w:p>
    <w:p>
      <w:pPr>
        <w:numPr>
          <w:ilvl w:val="0"/>
          <w:numId w:val="2"/>
        </w:numPr>
        <w:spacing w:line="600" w:lineRule="exact"/>
        <w:ind w:firstLine="640"/>
        <w:rPr>
          <w:rStyle w:val="13"/>
          <w:rFonts w:ascii="仿宋" w:hAnsi="仿宋" w:eastAsia="仿宋"/>
          <w:b w:val="0"/>
          <w:bCs/>
          <w:sz w:val="32"/>
          <w:szCs w:val="32"/>
        </w:rPr>
      </w:pP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3"/>
          <w:rFonts w:hint="eastAsia" w:ascii="仿宋" w:hAnsi="仿宋" w:eastAsia="仿宋"/>
          <w:b w:val="0"/>
          <w:bCs/>
          <w:sz w:val="32"/>
          <w:szCs w:val="32"/>
        </w:rPr>
        <w:t>。</w:t>
      </w:r>
    </w:p>
    <w:p>
      <w:pPr>
        <w:spacing w:line="600" w:lineRule="exact"/>
        <w:ind w:firstLine="643" w:firstLineChars="200"/>
        <w:rPr>
          <w:rFonts w:ascii="仿宋_GB2312" w:eastAsia="仿宋_GB2312"/>
          <w:b/>
          <w:sz w:val="32"/>
          <w:szCs w:val="32"/>
        </w:rPr>
      </w:pPr>
      <w:r>
        <w:rPr>
          <w:rFonts w:ascii="仿宋_GB2312" w:eastAsia="仿宋_GB2312"/>
          <w:b/>
          <w:sz w:val="32"/>
          <w:szCs w:val="32"/>
          <w:u w:val="none" w:color="46CD7E"/>
          <w:shd w:val="clear" w:color="auto" w:fill="FFEFD8"/>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3"/>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numPr>
          <w:ilvl w:val="0"/>
          <w:numId w:val="3"/>
        </w:num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rPr>
        <w:t>0.35万元，</w:t>
      </w:r>
      <w:r>
        <w:rPr>
          <w:rStyle w:val="13"/>
          <w:rFonts w:hint="eastAsia" w:ascii="仿宋" w:hAnsi="仿宋" w:eastAsia="仿宋"/>
          <w:b w:val="0"/>
          <w:bCs/>
          <w:sz w:val="32"/>
          <w:szCs w:val="32"/>
        </w:rPr>
        <w:t>完成预算100</w:t>
      </w:r>
      <w:r>
        <w:rPr>
          <w:rStyle w:val="13"/>
          <w:rFonts w:ascii="仿宋" w:hAnsi="仿宋" w:eastAsia="仿宋"/>
          <w:b w:val="0"/>
          <w:bCs/>
          <w:sz w:val="32"/>
          <w:szCs w:val="32"/>
        </w:rPr>
        <w:t>%</w:t>
      </w:r>
      <w:r>
        <w:rPr>
          <w:rStyle w:val="13"/>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20年持平。</w:t>
      </w:r>
    </w:p>
    <w:p>
      <w:pPr>
        <w:numPr>
          <w:ilvl w:val="0"/>
          <w:numId w:val="3"/>
        </w:num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0.35</w:t>
      </w:r>
      <w:r>
        <w:rPr>
          <w:rFonts w:hint="eastAsia" w:ascii="仿宋_GB2312" w:eastAsia="仿宋_GB2312"/>
          <w:sz w:val="32"/>
          <w:szCs w:val="32"/>
        </w:rPr>
        <w:t>万元，主要用餐费等。国内公务接待3批次，44人次（不包括陪同人员），共计支出0.35万元。</w:t>
      </w:r>
    </w:p>
    <w:p>
      <w:pPr>
        <w:spacing w:line="600" w:lineRule="exact"/>
        <w:ind w:firstLine="643" w:firstLineChars="200"/>
        <w:rPr>
          <w:rFonts w:ascii="黑体"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54" w:name="_Toc15377218"/>
      <w:bookmarkStart w:id="55" w:name="_Toc15396610"/>
      <w:r>
        <w:rPr>
          <w:rFonts w:hint="eastAsia" w:ascii="仿宋_GB2312" w:eastAsia="仿宋_GB2312"/>
          <w:sz w:val="32"/>
          <w:szCs w:val="32"/>
        </w:rPr>
        <w:t>。</w:t>
      </w:r>
    </w:p>
    <w:p>
      <w:pPr>
        <w:spacing w:line="600" w:lineRule="exact"/>
        <w:ind w:firstLine="640"/>
        <w:outlineLvl w:val="1"/>
        <w:rPr>
          <w:rStyle w:val="15"/>
          <w:rFonts w:ascii="黑体" w:hAnsi="黑体" w:eastAsia="黑体"/>
        </w:rPr>
      </w:pPr>
      <w:bookmarkStart w:id="56" w:name="_Toc18382"/>
      <w:r>
        <w:rPr>
          <w:rFonts w:hint="eastAsia" w:ascii="黑体" w:eastAsia="黑体"/>
          <w:sz w:val="32"/>
          <w:szCs w:val="32"/>
        </w:rPr>
        <w:t>八、</w:t>
      </w:r>
      <w:r>
        <w:rPr>
          <w:rStyle w:val="15"/>
          <w:rFonts w:hint="eastAsia" w:ascii="黑体" w:hAnsi="黑体" w:eastAsia="黑体"/>
          <w:b w:val="0"/>
        </w:rPr>
        <w:t>政府性基金预算支出决算情况说明</w:t>
      </w:r>
      <w:bookmarkEnd w:id="54"/>
      <w:bookmarkEnd w:id="55"/>
      <w:bookmarkEnd w:id="5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4"/>
        </w:numPr>
        <w:spacing w:line="600" w:lineRule="exact"/>
        <w:ind w:firstLine="640"/>
        <w:outlineLvl w:val="1"/>
        <w:rPr>
          <w:rStyle w:val="15"/>
          <w:rFonts w:ascii="黑体" w:hAnsi="黑体" w:eastAsia="黑体"/>
          <w:b w:val="0"/>
        </w:rPr>
      </w:pPr>
      <w:bookmarkStart w:id="57" w:name="_Toc15377219"/>
      <w:bookmarkStart w:id="58" w:name="_Toc15396611"/>
      <w:bookmarkStart w:id="59" w:name="_Toc19556"/>
      <w:r>
        <w:rPr>
          <w:rStyle w:val="15"/>
          <w:rFonts w:hint="eastAsia" w:ascii="黑体" w:hAnsi="黑体" w:eastAsia="黑体"/>
          <w:b w:val="0"/>
        </w:rPr>
        <w:t>国有资本经营预算支出决算情况说明</w:t>
      </w:r>
      <w:bookmarkEnd w:id="57"/>
      <w:bookmarkEnd w:id="58"/>
      <w:bookmarkEnd w:id="5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4"/>
        </w:numPr>
        <w:spacing w:line="600" w:lineRule="exact"/>
        <w:ind w:firstLine="640"/>
        <w:outlineLvl w:val="1"/>
        <w:rPr>
          <w:rStyle w:val="15"/>
          <w:rFonts w:ascii="黑体" w:hAnsi="黑体" w:eastAsia="黑体"/>
          <w:b w:val="0"/>
        </w:rPr>
      </w:pPr>
      <w:bookmarkStart w:id="60" w:name="_Toc15377221"/>
      <w:bookmarkStart w:id="61" w:name="_Toc15396612"/>
      <w:bookmarkStart w:id="62" w:name="_Toc21630"/>
      <w:r>
        <w:rPr>
          <w:rStyle w:val="15"/>
          <w:rFonts w:hint="eastAsia" w:ascii="黑体" w:hAnsi="黑体" w:eastAsia="黑体"/>
          <w:b w:val="0"/>
        </w:rPr>
        <w:t>其他重要事项的情况说明</w:t>
      </w:r>
      <w:bookmarkEnd w:id="60"/>
      <w:bookmarkEnd w:id="61"/>
      <w:bookmarkEnd w:id="62"/>
    </w:p>
    <w:p>
      <w:pPr>
        <w:spacing w:line="600" w:lineRule="exact"/>
        <w:ind w:firstLine="643" w:firstLineChars="200"/>
        <w:outlineLvl w:val="2"/>
        <w:rPr>
          <w:rFonts w:ascii="仿宋" w:hAnsi="仿宋" w:eastAsia="仿宋"/>
          <w:sz w:val="32"/>
          <w:szCs w:val="32"/>
        </w:rPr>
      </w:pPr>
      <w:bookmarkStart w:id="63" w:name="_Toc15377222"/>
      <w:r>
        <w:rPr>
          <w:rFonts w:hint="eastAsia" w:ascii="仿宋" w:hAnsi="仿宋" w:eastAsia="仿宋"/>
          <w:b/>
          <w:sz w:val="32"/>
          <w:szCs w:val="32"/>
        </w:rPr>
        <w:t>（一）机关运行经费支出情况</w:t>
      </w:r>
      <w:bookmarkEnd w:id="6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21年，通江县柞蚕</w:t>
      </w:r>
      <w:r>
        <w:rPr>
          <w:rFonts w:hint="eastAsia" w:ascii="仿宋_GB2312" w:eastAsia="仿宋_GB2312"/>
          <w:sz w:val="32"/>
          <w:szCs w:val="32"/>
          <w:u w:val="none" w:color="46CD7E"/>
          <w:shd w:val="clear" w:fill="auto"/>
        </w:rPr>
        <w:t>种场</w:t>
      </w:r>
      <w:r>
        <w:rPr>
          <w:rFonts w:hint="eastAsia" w:ascii="仿宋_GB2312" w:eastAsia="仿宋_GB2312"/>
          <w:sz w:val="32"/>
          <w:szCs w:val="32"/>
        </w:rPr>
        <w:t>机关运行经费支出0万元</w:t>
      </w:r>
      <w:r>
        <w:rPr>
          <w:rFonts w:hint="eastAsia" w:ascii="仿宋" w:hAnsi="仿宋" w:eastAsia="仿宋"/>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4" w:name="_Toc15377223"/>
      <w:r>
        <w:rPr>
          <w:rFonts w:hint="eastAsia" w:ascii="仿宋" w:hAnsi="仿宋" w:eastAsia="仿宋"/>
          <w:b/>
          <w:sz w:val="32"/>
          <w:szCs w:val="32"/>
        </w:rPr>
        <w:t>（二）政府采购支出情况</w:t>
      </w:r>
      <w:bookmarkEnd w:id="6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21年，通江县</w:t>
      </w:r>
      <w:r>
        <w:rPr>
          <w:rFonts w:hint="eastAsia" w:ascii="仿宋_GB2312" w:eastAsia="仿宋_GB2312"/>
          <w:sz w:val="32"/>
          <w:szCs w:val="32"/>
          <w:u w:val="none" w:color="46CD7E"/>
          <w:shd w:val="clear" w:color="auto" w:fill="FFEFD8"/>
        </w:rPr>
        <w:t>柞蚕种场</w:t>
      </w:r>
      <w:r>
        <w:rPr>
          <w:rFonts w:hint="eastAsia" w:ascii="仿宋_GB2312" w:eastAsia="仿宋_GB2312"/>
          <w:sz w:val="32"/>
          <w:szCs w:val="32"/>
        </w:rPr>
        <w:t>政府采购支出</w:t>
      </w:r>
      <w:r>
        <w:rPr>
          <w:rFonts w:hint="eastAsia" w:ascii="仿宋_GB2312" w:eastAsia="仿宋_GB2312"/>
          <w:sz w:val="32"/>
          <w:szCs w:val="32"/>
          <w:u w:val="thick" w:color="46CD7E"/>
          <w:shd w:val="clear" w:color="auto" w:fill="DAF5E5"/>
        </w:rPr>
        <w:t>总额为</w:t>
      </w:r>
      <w:r>
        <w:rPr>
          <w:rFonts w:hint="eastAsia" w:ascii="仿宋_GB2312" w:eastAsia="仿宋_GB2312"/>
          <w:sz w:val="32"/>
          <w:szCs w:val="32"/>
        </w:rPr>
        <w:t>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5" w:name="_Toc15377224"/>
      <w:r>
        <w:rPr>
          <w:rFonts w:hint="eastAsia" w:ascii="仿宋" w:hAnsi="仿宋" w:eastAsia="仿宋"/>
          <w:b/>
          <w:sz w:val="32"/>
          <w:szCs w:val="32"/>
        </w:rPr>
        <w:t>（三）国有资产占有使用情况</w:t>
      </w:r>
      <w:bookmarkEnd w:id="6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日，通江县柞蚕</w:t>
      </w:r>
      <w:r>
        <w:rPr>
          <w:rFonts w:hint="eastAsia" w:ascii="仿宋_GB2312" w:eastAsia="仿宋_GB2312"/>
          <w:sz w:val="32"/>
          <w:szCs w:val="32"/>
          <w:u w:val="none" w:color="46CD7E"/>
          <w:shd w:val="clear" w:fill="auto"/>
        </w:rPr>
        <w:t>种场</w:t>
      </w:r>
      <w:r>
        <w:rPr>
          <w:rFonts w:hint="eastAsia" w:ascii="仿宋_GB2312" w:eastAsia="仿宋_GB2312"/>
          <w:sz w:val="32"/>
          <w:szCs w:val="32"/>
        </w:rPr>
        <w:t>共有车辆0辆，单价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柞蚕种质资源保育项目等2个项目开展了预算事前绩效评估，对2个项目编制了绩效目标，预算执行过程中，选取2个项目开展绩效监控，年终执行完毕后，对2个项目开展了绩效自评，2021年特定目标类部门预算项目绩效目标自评表见附件。</w:t>
      </w:r>
    </w:p>
    <w:p>
      <w:pPr>
        <w:pStyle w:val="6"/>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14"/>
          <w:rFonts w:ascii="黑体" w:hAnsi="黑体" w:eastAsia="黑体"/>
          <w:b w:val="0"/>
        </w:rPr>
      </w:pPr>
      <w:bookmarkStart w:id="66" w:name="_Toc3213"/>
      <w:bookmarkStart w:id="67" w:name="_Toc15396613"/>
      <w:bookmarkStart w:id="68" w:name="_Toc15377225"/>
      <w:r>
        <w:rPr>
          <w:rFonts w:hint="eastAsia" w:ascii="黑体" w:hAnsi="黑体" w:eastAsia="黑体"/>
          <w:sz w:val="44"/>
          <w:szCs w:val="44"/>
        </w:rPr>
        <w:t>名</w:t>
      </w:r>
      <w:r>
        <w:rPr>
          <w:rStyle w:val="14"/>
          <w:rFonts w:hint="eastAsia" w:ascii="黑体" w:hAnsi="黑体" w:eastAsia="黑体"/>
          <w:b w:val="0"/>
        </w:rPr>
        <w:t>词解释</w:t>
      </w:r>
      <w:bookmarkEnd w:id="66"/>
      <w:bookmarkEnd w:id="67"/>
      <w:bookmarkEnd w:id="68"/>
    </w:p>
    <w:p>
      <w:pPr>
        <w:spacing w:line="600" w:lineRule="exact"/>
        <w:jc w:val="left"/>
        <w:rPr>
          <w:rFonts w:ascii="宋体"/>
          <w:b/>
          <w:sz w:val="44"/>
          <w:szCs w:val="44"/>
        </w:rPr>
      </w:pPr>
    </w:p>
    <w:p>
      <w:pPr>
        <w:pStyle w:val="19"/>
        <w:spacing w:line="52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19"/>
        <w:spacing w:line="52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19"/>
        <w:spacing w:line="52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19"/>
        <w:spacing w:line="52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19"/>
        <w:spacing w:line="52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19"/>
        <w:spacing w:line="52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thick" w:color="46CD7E"/>
          <w:shd w:val="clear" w:color="auto" w:fill="DAF5E5"/>
        </w:rPr>
        <w:t>本年度</w:t>
      </w:r>
      <w:r>
        <w:rPr>
          <w:rFonts w:hint="eastAsia" w:ascii="仿宋_GB2312" w:eastAsia="仿宋_GB2312"/>
          <w:color w:val="auto"/>
          <w:sz w:val="32"/>
          <w:szCs w:val="32"/>
        </w:rPr>
        <w:t>有关规定继续使用的资金。</w:t>
      </w:r>
      <w:r>
        <w:rPr>
          <w:rFonts w:ascii="仿宋_GB2312" w:eastAsia="仿宋_GB2312"/>
          <w:color w:val="auto"/>
          <w:sz w:val="32"/>
          <w:szCs w:val="32"/>
        </w:rPr>
        <w:t xml:space="preserve"> </w:t>
      </w:r>
    </w:p>
    <w:p>
      <w:pPr>
        <w:pStyle w:val="19"/>
        <w:spacing w:line="52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19"/>
        <w:spacing w:line="52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年末结转和结余：指单位按有关规定结转到下年或以后年度继续使用的资金。</w:t>
      </w:r>
    </w:p>
    <w:p>
      <w:pPr>
        <w:spacing w:line="520" w:lineRule="exact"/>
        <w:ind w:firstLine="640" w:firstLineChars="200"/>
        <w:rPr>
          <w:rFonts w:eastAsia="仿宋"/>
          <w:sz w:val="32"/>
          <w:szCs w:val="32"/>
        </w:rPr>
      </w:pPr>
      <w:r>
        <w:rPr>
          <w:rFonts w:hint="eastAsia" w:eastAsia="仿宋_GB2312"/>
          <w:sz w:val="32"/>
          <w:szCs w:val="32"/>
          <w:u w:val="none" w:color="46CD7E"/>
          <w:shd w:val="clear" w:color="auto" w:fill="FFEFD8"/>
        </w:rPr>
        <w:t>9.</w:t>
      </w:r>
      <w:r>
        <w:rPr>
          <w:rFonts w:hint="eastAsia" w:ascii="仿宋" w:hAnsi="仿宋" w:eastAsia="仿宋" w:cs="仿宋"/>
          <w:kern w:val="0"/>
          <w:sz w:val="32"/>
          <w:szCs w:val="32"/>
        </w:rPr>
        <w:t>一般公共服务（类）政府办公厅（室）及相关机构事务（款）事业运行（项）</w:t>
      </w:r>
      <w:r>
        <w:rPr>
          <w:rFonts w:hint="eastAsia" w:ascii="仿宋" w:hAnsi="仿宋" w:eastAsia="仿宋"/>
          <w:sz w:val="32"/>
          <w:szCs w:val="32"/>
        </w:rPr>
        <w:t>：反映事业单位的基本支出。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社会保障和就业（类）行政事业单位养老（款）机关事业单位基本养老保险缴费（项）:指事业单位基本养老保险缴费支出。</w:t>
      </w:r>
    </w:p>
    <w:p>
      <w:pPr>
        <w:widowControl/>
        <w:spacing w:line="520" w:lineRule="exact"/>
        <w:ind w:firstLine="640" w:firstLineChars="200"/>
        <w:jc w:val="left"/>
        <w:rPr>
          <w:rFonts w:ascii="仿宋_GB2312" w:hAnsi="仿宋_GB2312" w:eastAsia="仿宋_GB2312" w:cs="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hAnsi="仿宋_GB2312" w:eastAsia="仿宋_GB2312" w:cs="仿宋_GB2312"/>
          <w:sz w:val="32"/>
          <w:szCs w:val="32"/>
        </w:rPr>
        <w:t>卫生健康（类）行政事业单位医疗（款）事业单位医疗（项）是指财政部门安排的事业单位基本医疗保险缴费经费，未参加医疗保险的事业单位的公费医疗经费，按国家规定享受离休人员待遇的医疗经费。</w:t>
      </w:r>
    </w:p>
    <w:p>
      <w:pPr>
        <w:pStyle w:val="19"/>
        <w:spacing w:line="520" w:lineRule="exact"/>
        <w:ind w:firstLine="64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2</w:t>
      </w:r>
      <w:r>
        <w:rPr>
          <w:rFonts w:ascii="仿宋_GB2312" w:eastAsia="仿宋_GB2312"/>
          <w:color w:val="auto"/>
          <w:sz w:val="32"/>
          <w:szCs w:val="32"/>
        </w:rPr>
        <w:t>.农林水支出（类）</w:t>
      </w:r>
      <w:r>
        <w:rPr>
          <w:rFonts w:hint="eastAsia" w:ascii="仿宋_GB2312" w:eastAsia="仿宋_GB2312"/>
          <w:color w:val="auto"/>
          <w:sz w:val="32"/>
          <w:szCs w:val="32"/>
        </w:rPr>
        <w:t>农业农村</w:t>
      </w:r>
      <w:r>
        <w:rPr>
          <w:rFonts w:ascii="仿宋_GB2312" w:eastAsia="仿宋_GB2312"/>
          <w:color w:val="auto"/>
          <w:sz w:val="32"/>
          <w:szCs w:val="32"/>
        </w:rPr>
        <w:t>（款）</w:t>
      </w:r>
      <w:r>
        <w:rPr>
          <w:rFonts w:hint="eastAsia" w:ascii="仿宋_GB2312" w:eastAsia="仿宋_GB2312"/>
          <w:color w:val="auto"/>
          <w:sz w:val="32"/>
          <w:szCs w:val="32"/>
        </w:rPr>
        <w:t>事业运行</w:t>
      </w:r>
      <w:r>
        <w:rPr>
          <w:rFonts w:ascii="仿宋_GB2312" w:eastAsia="仿宋_GB2312"/>
          <w:color w:val="auto"/>
          <w:sz w:val="32"/>
          <w:szCs w:val="32"/>
        </w:rPr>
        <w:t>（项）:指</w:t>
      </w:r>
      <w:r>
        <w:rPr>
          <w:rFonts w:hint="eastAsia" w:ascii="仿宋_GB2312" w:eastAsia="仿宋_GB2312"/>
          <w:color w:val="auto"/>
          <w:sz w:val="32"/>
          <w:szCs w:val="32"/>
        </w:rPr>
        <w:t>柞蚕</w:t>
      </w:r>
      <w:r>
        <w:rPr>
          <w:rFonts w:hint="eastAsia" w:ascii="仿宋_GB2312" w:eastAsia="仿宋_GB2312"/>
          <w:color w:val="auto"/>
          <w:sz w:val="32"/>
          <w:szCs w:val="32"/>
          <w:u w:val="none" w:color="46CD7E"/>
          <w:shd w:val="clear" w:fill="auto"/>
        </w:rPr>
        <w:t>种场</w:t>
      </w:r>
      <w:r>
        <w:rPr>
          <w:rFonts w:ascii="仿宋_GB2312" w:eastAsia="仿宋_GB2312"/>
          <w:color w:val="auto"/>
          <w:sz w:val="32"/>
          <w:szCs w:val="32"/>
        </w:rPr>
        <w:t>用于</w:t>
      </w:r>
      <w:r>
        <w:rPr>
          <w:rFonts w:hint="eastAsia" w:ascii="仿宋_GB2312" w:eastAsia="仿宋_GB2312"/>
          <w:color w:val="auto"/>
          <w:sz w:val="32"/>
          <w:szCs w:val="32"/>
        </w:rPr>
        <w:t>开展</w:t>
      </w:r>
      <w:r>
        <w:rPr>
          <w:rFonts w:ascii="仿宋_GB2312" w:eastAsia="仿宋_GB2312"/>
          <w:color w:val="auto"/>
          <w:sz w:val="32"/>
          <w:szCs w:val="32"/>
        </w:rPr>
        <w:t>工作</w:t>
      </w:r>
      <w:r>
        <w:rPr>
          <w:rFonts w:hint="eastAsia" w:ascii="仿宋_GB2312" w:eastAsia="仿宋_GB2312"/>
          <w:color w:val="auto"/>
          <w:sz w:val="32"/>
          <w:szCs w:val="32"/>
        </w:rPr>
        <w:t>的</w:t>
      </w:r>
      <w:r>
        <w:rPr>
          <w:rFonts w:ascii="仿宋_GB2312" w:eastAsia="仿宋_GB2312"/>
          <w:color w:val="auto"/>
          <w:sz w:val="32"/>
          <w:szCs w:val="32"/>
        </w:rPr>
        <w:t>经费支出。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hAnsi="仿宋_GB2312" w:eastAsia="仿宋_GB2312" w:cs="仿宋_GB2312"/>
          <w:sz w:val="32"/>
          <w:szCs w:val="32"/>
        </w:rPr>
        <w:t>住房保障支出（类）住房改革支出（款）住房公积金（项）是指经财政部门批准用于住房公积金管理机构的管理费用支出。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19"/>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9"/>
        <w:spacing w:line="520" w:lineRule="exact"/>
        <w:ind w:firstLine="640" w:firstLineChars="200"/>
        <w:rPr>
          <w:rFonts w:ascii="仿宋_GB2312" w:eastAsia="仿宋_GB2312" w:cs="黑体"/>
          <w:color w:val="auto"/>
          <w:sz w:val="32"/>
          <w:szCs w:val="32"/>
        </w:rPr>
      </w:pPr>
    </w:p>
    <w:p>
      <w:pPr>
        <w:spacing w:line="600" w:lineRule="exact"/>
        <w:jc w:val="center"/>
        <w:rPr>
          <w:rFonts w:ascii="黑体" w:hAnsi="黑体" w:eastAsia="黑体"/>
          <w:sz w:val="44"/>
          <w:szCs w:val="44"/>
        </w:rPr>
      </w:pPr>
      <w:bookmarkStart w:id="69" w:name="_Toc15396614"/>
      <w:bookmarkStart w:id="70" w:name="_Toc15377226"/>
    </w:p>
    <w:p>
      <w:pPr>
        <w:spacing w:line="600" w:lineRule="exact"/>
        <w:jc w:val="center"/>
        <w:rPr>
          <w:rFonts w:ascii="黑体" w:hAnsi="黑体" w:eastAsia="黑体"/>
          <w:sz w:val="44"/>
          <w:szCs w:val="44"/>
        </w:rPr>
      </w:pPr>
    </w:p>
    <w:p>
      <w:pPr>
        <w:spacing w:line="600" w:lineRule="exact"/>
        <w:jc w:val="center"/>
        <w:outlineLvl w:val="0"/>
        <w:rPr>
          <w:rStyle w:val="14"/>
          <w:rFonts w:ascii="黑体" w:hAnsi="黑体" w:eastAsia="黑体"/>
          <w:b w:val="0"/>
        </w:rPr>
      </w:pPr>
      <w:bookmarkStart w:id="71" w:name="_Toc32122"/>
      <w:r>
        <w:rPr>
          <w:rFonts w:hint="eastAsia" w:ascii="黑体" w:hAnsi="黑体" w:eastAsia="黑体"/>
          <w:sz w:val="44"/>
          <w:szCs w:val="44"/>
        </w:rPr>
        <w:t>第</w:t>
      </w:r>
      <w:r>
        <w:rPr>
          <w:rStyle w:val="14"/>
          <w:rFonts w:hint="eastAsia" w:ascii="黑体" w:hAnsi="黑体" w:eastAsia="黑体"/>
          <w:b w:val="0"/>
        </w:rPr>
        <w:t>四部分 附件</w:t>
      </w:r>
      <w:bookmarkEnd w:id="69"/>
      <w:bookmarkEnd w:id="71"/>
    </w:p>
    <w:p>
      <w:pPr>
        <w:spacing w:line="572" w:lineRule="exact"/>
        <w:jc w:val="left"/>
        <w:outlineLvl w:val="0"/>
        <w:rPr>
          <w:rFonts w:ascii="仿宋_GB2312" w:hAnsi="仿宋_GB2312" w:eastAsia="黑体" w:cs="仿宋_GB2312"/>
          <w:sz w:val="32"/>
          <w:szCs w:val="32"/>
        </w:rPr>
      </w:pPr>
      <w:bookmarkStart w:id="72" w:name="_Toc214"/>
      <w:r>
        <w:rPr>
          <w:rFonts w:hint="eastAsia" w:ascii="黑体" w:hAnsi="黑体" w:eastAsia="黑体" w:cs="黑体"/>
          <w:sz w:val="32"/>
          <w:szCs w:val="32"/>
          <w:u w:val="none" w:color="46CD7E"/>
          <w:shd w:val="clear" w:fill="auto"/>
        </w:rPr>
        <w:t>附件</w:t>
      </w:r>
      <w:r>
        <w:rPr>
          <w:rFonts w:hint="eastAsia" w:ascii="黑体" w:hAnsi="黑体" w:eastAsia="黑体" w:cs="黑体"/>
          <w:sz w:val="32"/>
          <w:szCs w:val="32"/>
        </w:rPr>
        <w:t>1：</w:t>
      </w:r>
      <w:bookmarkEnd w:id="72"/>
    </w:p>
    <w:p>
      <w:pPr>
        <w:spacing w:line="600" w:lineRule="exact"/>
        <w:jc w:val="center"/>
        <w:rPr>
          <w:rFonts w:ascii="黑体" w:hAnsi="黑体" w:eastAsia="黑体"/>
          <w:sz w:val="44"/>
          <w:szCs w:val="44"/>
        </w:rPr>
      </w:pPr>
      <w:bookmarkStart w:id="73" w:name="_Toc15396618"/>
    </w:p>
    <w:tbl>
      <w:tblPr>
        <w:tblStyle w:val="11"/>
        <w:tblW w:w="9855" w:type="dxa"/>
        <w:tblInd w:w="93" w:type="dxa"/>
        <w:tblLayout w:type="autofit"/>
        <w:tblCellMar>
          <w:top w:w="0" w:type="dxa"/>
          <w:left w:w="108" w:type="dxa"/>
          <w:bottom w:w="0" w:type="dxa"/>
          <w:right w:w="108" w:type="dxa"/>
        </w:tblCellMar>
      </w:tblPr>
      <w:tblGrid>
        <w:gridCol w:w="554"/>
        <w:gridCol w:w="1086"/>
        <w:gridCol w:w="1386"/>
        <w:gridCol w:w="984"/>
        <w:gridCol w:w="600"/>
        <w:gridCol w:w="1304"/>
        <w:gridCol w:w="1050"/>
        <w:gridCol w:w="690"/>
        <w:gridCol w:w="834"/>
        <w:gridCol w:w="796"/>
        <w:gridCol w:w="571"/>
      </w:tblGrid>
      <w:tr>
        <w:tblPrEx>
          <w:tblCellMar>
            <w:top w:w="0" w:type="dxa"/>
            <w:left w:w="108" w:type="dxa"/>
            <w:bottom w:w="0" w:type="dxa"/>
            <w:right w:w="108" w:type="dxa"/>
          </w:tblCellMar>
        </w:tblPrEx>
        <w:trPr>
          <w:trHeight w:val="400" w:hRule="atLeast"/>
        </w:trPr>
        <w:tc>
          <w:tcPr>
            <w:tcW w:w="30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部门名称</w:t>
            </w:r>
          </w:p>
        </w:tc>
        <w:tc>
          <w:tcPr>
            <w:tcW w:w="68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通江县柞蚕种场</w:t>
            </w:r>
          </w:p>
        </w:tc>
      </w:tr>
      <w:tr>
        <w:tblPrEx>
          <w:tblCellMar>
            <w:top w:w="0" w:type="dxa"/>
            <w:left w:w="108" w:type="dxa"/>
            <w:bottom w:w="0" w:type="dxa"/>
            <w:right w:w="108" w:type="dxa"/>
          </w:tblCellMar>
        </w:tblPrEx>
        <w:trPr>
          <w:trHeight w:val="30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年度主要任务</w:t>
            </w:r>
          </w:p>
        </w:tc>
        <w:tc>
          <w:tcPr>
            <w:tcW w:w="1086"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任务名称</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主要内容</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分值</w:t>
            </w: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预算金额（万元）</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实际执行（万元）</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u w:val="none" w:color="46CD7E"/>
                <w:shd w:val="clear" w:fill="auto"/>
              </w:rPr>
            </w:pPr>
            <w:r>
              <w:rPr>
                <w:rFonts w:hint="eastAsia" w:ascii="仿宋" w:hAnsi="仿宋" w:eastAsia="仿宋" w:cs="仿宋"/>
                <w:color w:val="000000"/>
                <w:kern w:val="0"/>
                <w:sz w:val="12"/>
                <w:szCs w:val="12"/>
                <w:u w:val="none" w:color="46CD7E"/>
                <w:shd w:val="clear" w:fill="auto"/>
                <w:lang w:bidi="ar"/>
              </w:rPr>
              <w:t>得分</w:t>
            </w:r>
          </w:p>
        </w:tc>
      </w:tr>
      <w:tr>
        <w:tblPrEx>
          <w:tblCellMar>
            <w:top w:w="0" w:type="dxa"/>
            <w:left w:w="108" w:type="dxa"/>
            <w:bottom w:w="0" w:type="dxa"/>
            <w:right w:w="108" w:type="dxa"/>
          </w:tblCellMar>
        </w:tblPrEx>
        <w:trPr>
          <w:trHeight w:val="3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u w:val="none" w:color="46CD7E"/>
                <w:shd w:val="clear" w:fill="auto"/>
              </w:rPr>
            </w:pPr>
          </w:p>
        </w:tc>
        <w:tc>
          <w:tcPr>
            <w:tcW w:w="1086"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仿宋" w:hAnsi="仿宋" w:eastAsia="仿宋" w:cs="仿宋"/>
                <w:color w:val="000000"/>
                <w:sz w:val="12"/>
                <w:szCs w:val="12"/>
                <w:u w:val="none" w:color="46CD7E"/>
                <w:shd w:val="clear" w:fill="auto"/>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u w:val="none" w:color="46CD7E"/>
                <w:shd w:val="clear" w:fill="auto"/>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u w:val="none" w:color="46CD7E"/>
                <w:shd w:val="clear" w:fill="auto"/>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u w:val="none" w:color="46CD7E"/>
                <w:shd w:val="clear" w:fill="auto"/>
              </w:rPr>
            </w:pPr>
            <w:r>
              <w:rPr>
                <w:rFonts w:hint="eastAsia" w:ascii="仿宋" w:hAnsi="仿宋" w:eastAsia="仿宋" w:cs="仿宋"/>
                <w:color w:val="000000"/>
                <w:kern w:val="0"/>
                <w:sz w:val="12"/>
                <w:szCs w:val="12"/>
                <w:u w:val="none" w:color="46CD7E"/>
                <w:shd w:val="clear" w:fill="auto"/>
                <w:lang w:bidi="ar"/>
              </w:rPr>
              <w:t>总额</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u w:val="none" w:color="46CD7E"/>
                <w:shd w:val="clear" w:fill="auto"/>
              </w:rPr>
            </w:pPr>
            <w:r>
              <w:rPr>
                <w:rFonts w:hint="eastAsia" w:ascii="仿宋" w:hAnsi="仿宋" w:eastAsia="仿宋" w:cs="仿宋"/>
                <w:color w:val="000000"/>
                <w:kern w:val="0"/>
                <w:sz w:val="12"/>
                <w:szCs w:val="12"/>
                <w:u w:val="none" w:color="46CD7E"/>
                <w:shd w:val="clear" w:fill="auto"/>
                <w:lang w:bidi="ar"/>
              </w:rPr>
              <w:t>财政拨款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u w:val="none" w:color="46CD7E"/>
                <w:shd w:val="clear" w:fill="auto"/>
              </w:rPr>
            </w:pPr>
            <w:r>
              <w:rPr>
                <w:rFonts w:hint="eastAsia" w:ascii="仿宋" w:hAnsi="仿宋" w:eastAsia="仿宋" w:cs="仿宋"/>
                <w:color w:val="000000"/>
                <w:kern w:val="0"/>
                <w:sz w:val="12"/>
                <w:szCs w:val="12"/>
                <w:u w:val="none" w:color="46CD7E"/>
                <w:shd w:val="clear" w:fill="auto"/>
                <w:lang w:bidi="ar"/>
              </w:rPr>
              <w:t>其他资金</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u w:val="none" w:color="46CD7E"/>
                <w:shd w:val="clear" w:fill="auto"/>
              </w:rPr>
            </w:pPr>
            <w:r>
              <w:rPr>
                <w:rFonts w:hint="eastAsia" w:ascii="仿宋" w:hAnsi="仿宋" w:eastAsia="仿宋" w:cs="仿宋"/>
                <w:color w:val="000000"/>
                <w:kern w:val="0"/>
                <w:sz w:val="12"/>
                <w:szCs w:val="12"/>
                <w:u w:val="none" w:color="46CD7E"/>
                <w:shd w:val="clear" w:fill="auto"/>
                <w:lang w:bidi="ar"/>
              </w:rPr>
              <w:t>总额</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u w:val="none" w:color="46CD7E"/>
                <w:shd w:val="clear" w:fill="auto"/>
              </w:rPr>
            </w:pPr>
            <w:r>
              <w:rPr>
                <w:rFonts w:hint="eastAsia" w:ascii="仿宋" w:hAnsi="仿宋" w:eastAsia="仿宋" w:cs="仿宋"/>
                <w:color w:val="000000"/>
                <w:kern w:val="0"/>
                <w:sz w:val="12"/>
                <w:szCs w:val="12"/>
                <w:u w:val="none" w:color="46CD7E"/>
                <w:shd w:val="clear" w:fill="auto"/>
                <w:lang w:bidi="ar"/>
              </w:rPr>
              <w:t>财政拨款</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u w:val="none" w:color="46CD7E"/>
                <w:shd w:val="clear" w:fill="auto"/>
              </w:rPr>
            </w:pPr>
            <w:r>
              <w:rPr>
                <w:rFonts w:hint="eastAsia" w:ascii="仿宋" w:hAnsi="仿宋" w:eastAsia="仿宋" w:cs="仿宋"/>
                <w:color w:val="000000"/>
                <w:kern w:val="0"/>
                <w:sz w:val="12"/>
                <w:szCs w:val="12"/>
                <w:u w:val="none" w:color="46CD7E"/>
                <w:shd w:val="clear" w:fill="auto"/>
                <w:lang w:bidi="ar"/>
              </w:rPr>
              <w:t>其他资金</w:t>
            </w: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u w:val="none" w:color="46CD7E"/>
                <w:shd w:val="clear" w:fill="auto"/>
              </w:rPr>
            </w:pPr>
          </w:p>
        </w:tc>
      </w:tr>
      <w:tr>
        <w:tblPrEx>
          <w:tblCellMar>
            <w:top w:w="0" w:type="dxa"/>
            <w:left w:w="108" w:type="dxa"/>
            <w:bottom w:w="0" w:type="dxa"/>
            <w:right w:w="108" w:type="dxa"/>
          </w:tblCellMar>
        </w:tblPrEx>
        <w:trPr>
          <w:trHeight w:val="42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u w:val="none" w:color="46CD7E"/>
                <w:shd w:val="clear" w:fill="auto"/>
              </w:rPr>
            </w:pPr>
          </w:p>
        </w:tc>
        <w:tc>
          <w:tcPr>
            <w:tcW w:w="10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u w:val="none" w:color="46CD7E"/>
                <w:shd w:val="clear" w:fill="auto"/>
                <w:lang w:bidi="ar"/>
              </w:rPr>
              <w:t>柞蚕品种保育及技术推广</w:t>
            </w:r>
          </w:p>
        </w:tc>
        <w:tc>
          <w:tcPr>
            <w:tcW w:w="1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保障人员工资及运转支出</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89.16</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89.16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89.16</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89.16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r>
      <w:tr>
        <w:tblPrEx>
          <w:tblCellMar>
            <w:top w:w="0" w:type="dxa"/>
            <w:left w:w="108" w:type="dxa"/>
            <w:bottom w:w="0" w:type="dxa"/>
            <w:right w:w="108" w:type="dxa"/>
          </w:tblCellMar>
        </w:tblPrEx>
        <w:trPr>
          <w:trHeight w:val="54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柞蚕品种资源保育</w:t>
            </w:r>
          </w:p>
        </w:tc>
        <w:tc>
          <w:tcPr>
            <w:tcW w:w="1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柞蚕品种资源继代繁育，新品种试验、研发、利用</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12.2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12.2</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12.2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w:t>
            </w:r>
          </w:p>
        </w:tc>
      </w:tr>
      <w:tr>
        <w:tblPrEx>
          <w:tblCellMar>
            <w:top w:w="0" w:type="dxa"/>
            <w:left w:w="108" w:type="dxa"/>
            <w:bottom w:w="0" w:type="dxa"/>
            <w:right w:w="108" w:type="dxa"/>
          </w:tblCellMar>
        </w:tblPrEx>
        <w:trPr>
          <w:trHeight w:val="114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通江县现代种业提升工程-柞蚕种质资源保护与利用项目</w:t>
            </w:r>
          </w:p>
        </w:tc>
        <w:tc>
          <w:tcPr>
            <w:tcW w:w="1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有效保存继代柞蚕种质资源10份</w:t>
            </w:r>
            <w:r>
              <w:rPr>
                <w:rFonts w:hint="eastAsia" w:ascii="仿宋" w:hAnsi="仿宋" w:eastAsia="仿宋" w:cs="仿宋"/>
                <w:color w:val="000000"/>
                <w:kern w:val="0"/>
                <w:sz w:val="12"/>
                <w:szCs w:val="12"/>
                <w:u w:val="none" w:color="46CD7E"/>
                <w:shd w:val="clear" w:fill="auto"/>
                <w:lang w:bidi="ar"/>
              </w:rPr>
              <w:t xml:space="preserve">; </w:t>
            </w:r>
            <w:r>
              <w:rPr>
                <w:rFonts w:hint="eastAsia" w:ascii="仿宋" w:hAnsi="仿宋" w:eastAsia="仿宋" w:cs="仿宋"/>
                <w:color w:val="000000"/>
                <w:kern w:val="0"/>
                <w:sz w:val="12"/>
                <w:szCs w:val="12"/>
                <w:lang w:bidi="ar"/>
              </w:rPr>
              <w:t xml:space="preserve">微粒子病毒，母种控制在0.5‰以下，原种1‰以下；生产合格母种茧1.5万粒，原种茧3万粒。                                                     </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u w:val="none" w:color="46CD7E"/>
                <w:shd w:val="clear" w:fill="auto"/>
                <w:lang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r>
      <w:tr>
        <w:tblPrEx>
          <w:tblCellMar>
            <w:top w:w="0" w:type="dxa"/>
            <w:left w:w="108" w:type="dxa"/>
            <w:bottom w:w="0" w:type="dxa"/>
            <w:right w:w="108" w:type="dxa"/>
          </w:tblCellMar>
        </w:tblPrEx>
        <w:trPr>
          <w:trHeight w:val="28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72"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合   计</w:t>
            </w:r>
          </w:p>
        </w:tc>
        <w:tc>
          <w:tcPr>
            <w:tcW w:w="98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10</w:t>
            </w:r>
          </w:p>
        </w:tc>
        <w:tc>
          <w:tcPr>
            <w:tcW w:w="60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131.36</w:t>
            </w:r>
          </w:p>
        </w:tc>
        <w:tc>
          <w:tcPr>
            <w:tcW w:w="130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31.36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131.36</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131.36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10</w:t>
            </w:r>
          </w:p>
        </w:tc>
      </w:tr>
      <w:tr>
        <w:tblPrEx>
          <w:tblCellMar>
            <w:top w:w="0" w:type="dxa"/>
            <w:left w:w="108" w:type="dxa"/>
            <w:bottom w:w="0" w:type="dxa"/>
            <w:right w:w="108" w:type="dxa"/>
          </w:tblCellMar>
        </w:tblPrEx>
        <w:trPr>
          <w:trHeight w:val="24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3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39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实际完成目标</w:t>
            </w:r>
          </w:p>
        </w:tc>
      </w:tr>
      <w:tr>
        <w:tblPrEx>
          <w:tblCellMar>
            <w:top w:w="0" w:type="dxa"/>
            <w:left w:w="108" w:type="dxa"/>
            <w:bottom w:w="0" w:type="dxa"/>
            <w:right w:w="108" w:type="dxa"/>
          </w:tblCellMar>
        </w:tblPrEx>
        <w:trPr>
          <w:trHeight w:val="7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3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保障人员工资及运转支出；柞蚕品种资源继代繁育，新品种试验、研发、利用；有效保存继代柞蚕种质资源10份</w:t>
            </w:r>
            <w:r>
              <w:rPr>
                <w:rFonts w:hint="eastAsia" w:ascii="仿宋" w:hAnsi="仿宋" w:eastAsia="仿宋" w:cs="仿宋"/>
                <w:color w:val="000000"/>
                <w:kern w:val="0"/>
                <w:sz w:val="12"/>
                <w:szCs w:val="12"/>
                <w:u w:val="none" w:color="46CD7E"/>
                <w:shd w:val="clear" w:fill="auto"/>
                <w:lang w:bidi="ar"/>
              </w:rPr>
              <w:t>;</w:t>
            </w:r>
            <w:r>
              <w:rPr>
                <w:rFonts w:hint="eastAsia" w:ascii="仿宋" w:hAnsi="仿宋" w:eastAsia="仿宋" w:cs="仿宋"/>
                <w:color w:val="000000"/>
                <w:kern w:val="0"/>
                <w:sz w:val="12"/>
                <w:szCs w:val="12"/>
                <w:lang w:bidi="ar"/>
              </w:rPr>
              <w:t>微粒子病毒，母种控制在0.5‰以下，原种1‰以下</w:t>
            </w:r>
            <w:r>
              <w:rPr>
                <w:rFonts w:hint="eastAsia" w:ascii="仿宋" w:hAnsi="仿宋" w:eastAsia="仿宋" w:cs="仿宋"/>
                <w:color w:val="000000"/>
                <w:kern w:val="0"/>
                <w:sz w:val="12"/>
                <w:szCs w:val="12"/>
                <w:u w:val="none" w:color="46CD7E"/>
                <w:shd w:val="clear" w:fill="auto"/>
                <w:lang w:bidi="ar"/>
              </w:rPr>
              <w:t xml:space="preserve">; </w:t>
            </w:r>
            <w:r>
              <w:rPr>
                <w:rFonts w:hint="eastAsia" w:ascii="仿宋" w:hAnsi="仿宋" w:eastAsia="仿宋" w:cs="仿宋"/>
                <w:color w:val="000000"/>
                <w:kern w:val="0"/>
                <w:sz w:val="12"/>
                <w:szCs w:val="12"/>
                <w:lang w:bidi="ar"/>
              </w:rPr>
              <w:t>生产合格母种茧1.5万粒，原种茧3万粒。</w:t>
            </w:r>
          </w:p>
        </w:tc>
        <w:tc>
          <w:tcPr>
            <w:tcW w:w="39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保障人员工资及运转支出；柞蚕品种资源继代繁育，新品种试验、研发、利用；有效保存继代柞蚕种质资源10份</w:t>
            </w:r>
            <w:r>
              <w:rPr>
                <w:rFonts w:hint="eastAsia" w:ascii="仿宋" w:hAnsi="仿宋" w:eastAsia="仿宋" w:cs="仿宋"/>
                <w:color w:val="000000"/>
                <w:kern w:val="0"/>
                <w:sz w:val="12"/>
                <w:szCs w:val="12"/>
                <w:u w:val="none" w:color="46CD7E"/>
                <w:shd w:val="clear" w:fill="auto"/>
                <w:lang w:bidi="ar"/>
              </w:rPr>
              <w:t>;  微粒</w:t>
            </w:r>
            <w:r>
              <w:rPr>
                <w:rFonts w:hint="eastAsia" w:ascii="仿宋" w:hAnsi="仿宋" w:eastAsia="仿宋" w:cs="仿宋"/>
                <w:color w:val="000000"/>
                <w:kern w:val="0"/>
                <w:sz w:val="12"/>
                <w:szCs w:val="12"/>
                <w:lang w:bidi="ar"/>
              </w:rPr>
              <w:t>子病毒，母种控制在0.5‰以下，原种1‰以下</w:t>
            </w:r>
            <w:r>
              <w:rPr>
                <w:rFonts w:hint="eastAsia" w:ascii="仿宋" w:hAnsi="仿宋" w:eastAsia="仿宋" w:cs="仿宋"/>
                <w:color w:val="000000"/>
                <w:kern w:val="0"/>
                <w:sz w:val="12"/>
                <w:szCs w:val="12"/>
                <w:u w:val="none" w:color="46CD7E"/>
                <w:shd w:val="clear" w:fill="auto"/>
                <w:lang w:bidi="ar"/>
              </w:rPr>
              <w:t xml:space="preserve">; </w:t>
            </w:r>
            <w:r>
              <w:rPr>
                <w:rFonts w:hint="eastAsia" w:ascii="仿宋" w:hAnsi="仿宋" w:eastAsia="仿宋" w:cs="仿宋"/>
                <w:color w:val="000000"/>
                <w:kern w:val="0"/>
                <w:sz w:val="12"/>
                <w:szCs w:val="12"/>
                <w:lang w:bidi="ar"/>
              </w:rPr>
              <w:t>生产合格母种茧1.5万粒，原种茧3万粒。</w:t>
            </w:r>
          </w:p>
        </w:tc>
      </w:tr>
      <w:tr>
        <w:tblPrEx>
          <w:tblCellMar>
            <w:top w:w="0" w:type="dxa"/>
            <w:left w:w="108" w:type="dxa"/>
            <w:bottom w:w="0" w:type="dxa"/>
            <w:right w:w="108" w:type="dxa"/>
          </w:tblCellMar>
        </w:tblPrEx>
        <w:trPr>
          <w:trHeight w:val="559"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绩效指标</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分值</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年度指标值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得分</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未完成原因及拟采取的改进措施</w:t>
            </w: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产</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出</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指</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fill="auto"/>
                <w:lang w:bidi="ar"/>
              </w:rPr>
              <w:t>(</w:t>
            </w:r>
            <w:r>
              <w:rPr>
                <w:rFonts w:hint="eastAsia" w:ascii="宋体" w:hAnsi="宋体" w:cs="宋体"/>
                <w:color w:val="000000"/>
                <w:kern w:val="0"/>
                <w:sz w:val="20"/>
                <w:szCs w:val="20"/>
                <w:lang w:bidi="ar"/>
              </w:rPr>
              <w:t>50分</w:t>
            </w:r>
            <w:r>
              <w:rPr>
                <w:rFonts w:hint="eastAsia" w:ascii="宋体" w:hAnsi="宋体" w:cs="宋体"/>
                <w:color w:val="000000"/>
                <w:kern w:val="0"/>
                <w:sz w:val="20"/>
                <w:szCs w:val="20"/>
                <w:u w:val="none" w:color="46CD7E"/>
                <w:shd w:val="clear" w:fill="auto"/>
                <w:lang w:bidi="ar"/>
              </w:rPr>
              <w:t>)</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母种10个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≥0.5万粒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1.6万粒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原种2个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≥2万粒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3.5万粒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杂交种1个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≥30斤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32斤</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柞林改造</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≥2000亩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2000亩</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质量</w:t>
            </w:r>
            <w:bookmarkStart w:id="102" w:name="_GoBack"/>
            <w:bookmarkEnd w:id="102"/>
            <w:r>
              <w:rPr>
                <w:rFonts w:hint="eastAsia" w:ascii="宋体" w:hAnsi="宋体" w:cs="宋体"/>
                <w:color w:val="000000"/>
                <w:kern w:val="0"/>
                <w:sz w:val="20"/>
                <w:szCs w:val="20"/>
                <w:lang w:bidi="ar"/>
              </w:rPr>
              <w:t>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工资福利、</w:t>
            </w:r>
            <w:r>
              <w:rPr>
                <w:rFonts w:hint="eastAsia" w:ascii="仿宋" w:hAnsi="仿宋" w:eastAsia="仿宋" w:cs="仿宋"/>
                <w:color w:val="000000"/>
                <w:kern w:val="0"/>
                <w:sz w:val="12"/>
                <w:szCs w:val="12"/>
                <w:u w:val="thick" w:color="46CD7E"/>
                <w:shd w:val="clear" w:color="auto" w:fill="DAF5E5"/>
                <w:lang w:bidi="ar"/>
              </w:rPr>
              <w:t>运转率</w:t>
            </w:r>
            <w:r>
              <w:rPr>
                <w:rFonts w:hint="eastAsia" w:ascii="仿宋" w:hAnsi="仿宋" w:eastAsia="仿宋" w:cs="仿宋"/>
                <w:color w:val="000000"/>
                <w:kern w:val="0"/>
                <w:sz w:val="12"/>
                <w:szCs w:val="12"/>
                <w:lang w:bidi="ar"/>
              </w:rPr>
              <w:t>、民生保障率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“三公”经费下降率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柞蚕微粒子病毒率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≤0.8‰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购置设备合格率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color="auto" w:fill="FFEFD8"/>
                <w:lang w:bidi="ar"/>
              </w:rPr>
              <w:t>时效</w:t>
            </w:r>
            <w:r>
              <w:rPr>
                <w:rFonts w:hint="eastAsia" w:ascii="宋体" w:hAnsi="宋体" w:cs="宋体"/>
                <w:color w:val="000000"/>
                <w:kern w:val="0"/>
                <w:sz w:val="20"/>
                <w:szCs w:val="20"/>
                <w:lang w:bidi="ar"/>
              </w:rPr>
              <w:t>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工资福利发放及时率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柞蚕品种保育完成时间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1月-12月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按时完成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柞林改造</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1月-2月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按时完成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成本指标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工资福利总额</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≤57.5万元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57.5万元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柞蚕品种资源保育项目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12.2万元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12.2万元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设备购置成本</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效</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益</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指</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fill="auto"/>
                <w:lang w:bidi="ar"/>
              </w:rPr>
              <w:t>(</w:t>
            </w:r>
            <w:r>
              <w:rPr>
                <w:rFonts w:hint="eastAsia" w:ascii="宋体" w:hAnsi="宋体" w:cs="宋体"/>
                <w:color w:val="000000"/>
                <w:kern w:val="0"/>
                <w:sz w:val="20"/>
                <w:szCs w:val="20"/>
                <w:lang w:bidi="ar"/>
              </w:rPr>
              <w:t>30分</w:t>
            </w:r>
            <w:r>
              <w:rPr>
                <w:rFonts w:hint="eastAsia" w:ascii="宋体" w:hAnsi="宋体" w:cs="宋体"/>
                <w:color w:val="000000"/>
                <w:kern w:val="0"/>
                <w:sz w:val="20"/>
                <w:szCs w:val="20"/>
                <w:u w:val="none" w:color="46CD7E"/>
                <w:shd w:val="clear" w:fill="auto"/>
                <w:lang w:bidi="ar"/>
              </w:rPr>
              <w:t>)</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经济效益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职工人均增收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4</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培训对象增收率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帮扶对象增收率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4</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社会效益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培训带动就业增长率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44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发展农户养蚕增收脱贫致富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≥20户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20户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4</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生态效益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能耗下降率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水电能源节约率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可持续影响指标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项目持续发挥作用的期限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w:t>
            </w:r>
            <w:r>
              <w:rPr>
                <w:rFonts w:hint="eastAsia" w:ascii="仿宋" w:hAnsi="仿宋" w:eastAsia="仿宋" w:cs="仿宋"/>
                <w:color w:val="000000"/>
                <w:kern w:val="0"/>
                <w:sz w:val="12"/>
                <w:szCs w:val="12"/>
                <w:u w:val="none" w:color="46CD7E"/>
                <w:shd w:val="clear" w:fill="auto"/>
                <w:lang w:bidi="ar"/>
              </w:rPr>
              <w:t>长期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长期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本行业未来可持续发展的影响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=可持续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可持续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3</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满意度指标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fill="auto"/>
                <w:lang w:bidi="ar"/>
              </w:rPr>
              <w:t>(</w:t>
            </w:r>
            <w:r>
              <w:rPr>
                <w:rFonts w:hint="eastAsia" w:ascii="宋体" w:hAnsi="宋体" w:cs="宋体"/>
                <w:color w:val="000000"/>
                <w:kern w:val="0"/>
                <w:sz w:val="20"/>
                <w:szCs w:val="20"/>
                <w:lang w:bidi="ar"/>
              </w:rPr>
              <w:t>10分</w:t>
            </w:r>
            <w:r>
              <w:rPr>
                <w:rFonts w:hint="eastAsia" w:ascii="宋体" w:hAnsi="宋体" w:cs="宋体"/>
                <w:color w:val="000000"/>
                <w:kern w:val="0"/>
                <w:sz w:val="20"/>
                <w:szCs w:val="20"/>
                <w:u w:val="none" w:color="46CD7E"/>
                <w:shd w:val="clear" w:fill="auto"/>
                <w:lang w:bidi="ar"/>
              </w:rPr>
              <w:t>)</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服务对象</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满意度指标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蚕农对技术推广指导满意度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44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基层群众对柞蚕工作的满意度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12"/>
                <w:szCs w:val="12"/>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≥90</w:t>
            </w:r>
            <w:r>
              <w:rPr>
                <w:rStyle w:val="20"/>
                <w:rFonts w:hint="default"/>
                <w:lang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2"/>
                <w:szCs w:val="12"/>
              </w:rPr>
            </w:pPr>
            <w:r>
              <w:rPr>
                <w:rFonts w:hint="eastAsia" w:ascii="仿宋" w:hAnsi="仿宋" w:eastAsia="仿宋" w:cs="仿宋"/>
                <w:color w:val="000000"/>
                <w:kern w:val="0"/>
                <w:sz w:val="12"/>
                <w:szCs w:val="12"/>
                <w:lang w:bidi="ar"/>
              </w:rPr>
              <w:t>5</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2"/>
                <w:szCs w:val="12"/>
              </w:rPr>
            </w:pPr>
          </w:p>
        </w:tc>
      </w:tr>
      <w:tr>
        <w:tblPrEx>
          <w:tblCellMar>
            <w:top w:w="0" w:type="dxa"/>
            <w:left w:w="108" w:type="dxa"/>
            <w:bottom w:w="0" w:type="dxa"/>
            <w:right w:w="108" w:type="dxa"/>
          </w:tblCellMar>
        </w:tblPrEx>
        <w:trPr>
          <w:trHeight w:val="252" w:hRule="atLeast"/>
        </w:trPr>
        <w:tc>
          <w:tcPr>
            <w:tcW w:w="40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总分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90</w:t>
            </w:r>
          </w:p>
        </w:tc>
        <w:tc>
          <w:tcPr>
            <w:tcW w:w="2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90</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spacing w:line="600" w:lineRule="exact"/>
        <w:rPr>
          <w:rFonts w:ascii="黑体" w:hAnsi="黑体" w:eastAsia="黑体"/>
          <w:sz w:val="44"/>
          <w:szCs w:val="44"/>
        </w:rPr>
      </w:pPr>
    </w:p>
    <w:p>
      <w:pPr>
        <w:pStyle w:val="2"/>
        <w:ind w:firstLine="880"/>
        <w:rPr>
          <w:rFonts w:ascii="黑体" w:hAnsi="黑体" w:eastAsia="黑体"/>
          <w:sz w:val="44"/>
          <w:szCs w:val="44"/>
        </w:rPr>
      </w:pPr>
    </w:p>
    <w:p>
      <w:pPr>
        <w:rPr>
          <w:rFonts w:ascii="黑体" w:hAnsi="黑体" w:eastAsia="黑体"/>
          <w:sz w:val="44"/>
          <w:szCs w:val="44"/>
        </w:rPr>
      </w:pPr>
    </w:p>
    <w:p>
      <w:pPr>
        <w:pStyle w:val="2"/>
        <w:ind w:firstLine="880"/>
        <w:rPr>
          <w:rFonts w:ascii="黑体" w:hAnsi="黑体" w:eastAsia="黑体"/>
          <w:sz w:val="44"/>
          <w:szCs w:val="44"/>
        </w:rPr>
      </w:pPr>
    </w:p>
    <w:p/>
    <w:p>
      <w:pPr>
        <w:pStyle w:val="6"/>
        <w:spacing w:before="93"/>
        <w:rPr>
          <w:rFonts w:ascii="黑体" w:hAnsi="黑体" w:eastAsia="黑体"/>
          <w:sz w:val="44"/>
          <w:szCs w:val="44"/>
        </w:rPr>
      </w:pPr>
    </w:p>
    <w:tbl>
      <w:tblPr>
        <w:tblStyle w:val="11"/>
        <w:tblpPr w:leftFromText="180" w:rightFromText="180" w:vertAnchor="text" w:horzAnchor="page" w:tblpX="1945" w:tblpY="290"/>
        <w:tblOverlap w:val="never"/>
        <w:tblW w:w="9150" w:type="dxa"/>
        <w:tblInd w:w="0" w:type="dxa"/>
        <w:tblLayout w:type="autofit"/>
        <w:tblCellMar>
          <w:top w:w="0" w:type="dxa"/>
          <w:left w:w="108" w:type="dxa"/>
          <w:bottom w:w="0" w:type="dxa"/>
          <w:right w:w="108" w:type="dxa"/>
        </w:tblCellMar>
      </w:tblPr>
      <w:tblGrid>
        <w:gridCol w:w="528"/>
        <w:gridCol w:w="808"/>
        <w:gridCol w:w="939"/>
        <w:gridCol w:w="2118"/>
        <w:gridCol w:w="666"/>
        <w:gridCol w:w="1260"/>
        <w:gridCol w:w="1054"/>
        <w:gridCol w:w="476"/>
        <w:gridCol w:w="905"/>
        <w:gridCol w:w="396"/>
      </w:tblGrid>
      <w:tr>
        <w:tblPrEx>
          <w:tblCellMar>
            <w:top w:w="0" w:type="dxa"/>
            <w:left w:w="108" w:type="dxa"/>
            <w:bottom w:w="0" w:type="dxa"/>
            <w:right w:w="108" w:type="dxa"/>
          </w:tblCellMar>
        </w:tblPrEx>
        <w:trPr>
          <w:trHeight w:val="320" w:hRule="atLeast"/>
        </w:trPr>
        <w:tc>
          <w:tcPr>
            <w:tcW w:w="1336" w:type="dxa"/>
            <w:gridSpan w:val="2"/>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附件2：</w:t>
            </w:r>
          </w:p>
        </w:tc>
        <w:tc>
          <w:tcPr>
            <w:tcW w:w="939"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2118"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666" w:type="dxa"/>
            <w:tcBorders>
              <w:top w:val="nil"/>
              <w:left w:val="nil"/>
              <w:bottom w:val="nil"/>
              <w:right w:val="nil"/>
            </w:tcBorders>
            <w:shd w:val="clear" w:color="auto" w:fill="auto"/>
            <w:vAlign w:val="center"/>
          </w:tcPr>
          <w:p>
            <w:pPr>
              <w:rPr>
                <w:rFonts w:ascii="宋体" w:hAnsi="宋体" w:cs="宋体"/>
                <w:color w:val="000000"/>
                <w:sz w:val="24"/>
              </w:rPr>
            </w:pPr>
          </w:p>
        </w:tc>
        <w:tc>
          <w:tcPr>
            <w:tcW w:w="1260" w:type="dxa"/>
            <w:tcBorders>
              <w:top w:val="nil"/>
              <w:left w:val="nil"/>
              <w:bottom w:val="nil"/>
              <w:right w:val="nil"/>
            </w:tcBorders>
            <w:shd w:val="clear" w:color="auto" w:fill="auto"/>
            <w:vAlign w:val="center"/>
          </w:tcPr>
          <w:p>
            <w:pPr>
              <w:rPr>
                <w:rFonts w:ascii="宋体" w:hAnsi="宋体" w:cs="宋体"/>
                <w:color w:val="000000"/>
                <w:sz w:val="24"/>
              </w:rPr>
            </w:pPr>
          </w:p>
        </w:tc>
        <w:tc>
          <w:tcPr>
            <w:tcW w:w="1054" w:type="dxa"/>
            <w:tcBorders>
              <w:top w:val="nil"/>
              <w:left w:val="nil"/>
              <w:bottom w:val="nil"/>
              <w:right w:val="nil"/>
            </w:tcBorders>
            <w:shd w:val="clear" w:color="auto" w:fill="auto"/>
            <w:vAlign w:val="center"/>
          </w:tcPr>
          <w:p>
            <w:pPr>
              <w:rPr>
                <w:rFonts w:ascii="宋体" w:hAnsi="宋体" w:cs="宋体"/>
                <w:color w:val="000000"/>
                <w:sz w:val="24"/>
              </w:rPr>
            </w:pPr>
          </w:p>
        </w:tc>
        <w:tc>
          <w:tcPr>
            <w:tcW w:w="476" w:type="dxa"/>
            <w:tcBorders>
              <w:top w:val="nil"/>
              <w:left w:val="nil"/>
              <w:bottom w:val="nil"/>
              <w:right w:val="nil"/>
            </w:tcBorders>
            <w:shd w:val="clear" w:color="auto" w:fill="auto"/>
            <w:vAlign w:val="center"/>
          </w:tcPr>
          <w:p>
            <w:pPr>
              <w:rPr>
                <w:rFonts w:ascii="宋体" w:hAnsi="宋体" w:cs="宋体"/>
                <w:color w:val="000000"/>
                <w:sz w:val="24"/>
              </w:rPr>
            </w:pPr>
          </w:p>
        </w:tc>
        <w:tc>
          <w:tcPr>
            <w:tcW w:w="905" w:type="dxa"/>
            <w:tcBorders>
              <w:top w:val="nil"/>
              <w:left w:val="nil"/>
              <w:bottom w:val="nil"/>
              <w:right w:val="nil"/>
            </w:tcBorders>
            <w:shd w:val="clear" w:color="auto" w:fill="auto"/>
            <w:vAlign w:val="center"/>
          </w:tcPr>
          <w:p>
            <w:pPr>
              <w:rPr>
                <w:rFonts w:ascii="宋体" w:hAnsi="宋体" w:cs="宋体"/>
                <w:color w:val="000000"/>
                <w:sz w:val="24"/>
              </w:rPr>
            </w:pPr>
          </w:p>
        </w:tc>
        <w:tc>
          <w:tcPr>
            <w:tcW w:w="396" w:type="dxa"/>
            <w:tcBorders>
              <w:top w:val="nil"/>
              <w:left w:val="nil"/>
              <w:bottom w:val="nil"/>
              <w:right w:val="nil"/>
            </w:tcBorders>
            <w:shd w:val="clear" w:color="auto" w:fill="auto"/>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570" w:hRule="atLeast"/>
        </w:trPr>
        <w:tc>
          <w:tcPr>
            <w:tcW w:w="9150"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lang w:bidi="ar"/>
              </w:rPr>
              <w:t>绩效目标自评表</w:t>
            </w:r>
            <w:r>
              <w:rPr>
                <w:rStyle w:val="23"/>
                <w:rFonts w:hint="default"/>
                <w:lang w:bidi="ar"/>
              </w:rPr>
              <w:t xml:space="preserve"> </w:t>
            </w:r>
          </w:p>
        </w:tc>
      </w:tr>
      <w:tr>
        <w:tblPrEx>
          <w:tblCellMar>
            <w:top w:w="0" w:type="dxa"/>
            <w:left w:w="108" w:type="dxa"/>
            <w:bottom w:w="0" w:type="dxa"/>
            <w:right w:w="108" w:type="dxa"/>
          </w:tblCellMar>
        </w:tblPrEx>
        <w:trPr>
          <w:trHeight w:val="420" w:hRule="atLeast"/>
        </w:trPr>
        <w:tc>
          <w:tcPr>
            <w:tcW w:w="9150" w:type="dxa"/>
            <w:gridSpan w:val="10"/>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（2021年度）</w:t>
            </w:r>
          </w:p>
        </w:tc>
      </w:tr>
      <w:tr>
        <w:tblPrEx>
          <w:tblCellMar>
            <w:top w:w="0" w:type="dxa"/>
            <w:left w:w="108" w:type="dxa"/>
            <w:bottom w:w="0" w:type="dxa"/>
            <w:right w:w="108" w:type="dxa"/>
          </w:tblCellMar>
        </w:tblPrEx>
        <w:trPr>
          <w:trHeight w:val="555" w:hRule="atLeast"/>
        </w:trPr>
        <w:tc>
          <w:tcPr>
            <w:tcW w:w="2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柞蚕品种资源保育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项目负责人及电话</w:t>
            </w:r>
          </w:p>
        </w:tc>
        <w:tc>
          <w:tcPr>
            <w:tcW w:w="2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周林（13330610666）</w:t>
            </w:r>
          </w:p>
        </w:tc>
      </w:tr>
      <w:tr>
        <w:tblPrEx>
          <w:tblCellMar>
            <w:top w:w="0" w:type="dxa"/>
            <w:left w:w="108" w:type="dxa"/>
            <w:bottom w:w="0" w:type="dxa"/>
            <w:right w:w="108" w:type="dxa"/>
          </w:tblCellMar>
        </w:tblPrEx>
        <w:trPr>
          <w:trHeight w:val="300" w:hRule="atLeast"/>
        </w:trPr>
        <w:tc>
          <w:tcPr>
            <w:tcW w:w="2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主管部门</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通江县农业农村局</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实施单位</w:t>
            </w:r>
          </w:p>
        </w:tc>
        <w:tc>
          <w:tcPr>
            <w:tcW w:w="2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通江县柞蚕种场</w:t>
            </w:r>
          </w:p>
        </w:tc>
      </w:tr>
      <w:tr>
        <w:tblPrEx>
          <w:tblCellMar>
            <w:top w:w="0" w:type="dxa"/>
            <w:left w:w="108" w:type="dxa"/>
            <w:bottom w:w="0" w:type="dxa"/>
            <w:right w:w="108" w:type="dxa"/>
          </w:tblCellMar>
        </w:tblPrEx>
        <w:trPr>
          <w:trHeight w:val="700" w:hRule="atLeast"/>
        </w:trPr>
        <w:tc>
          <w:tcPr>
            <w:tcW w:w="22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资金情况</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（万元）</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全年预算数（A）</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全年执行数（B）</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分值</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执行率（B/A)</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得分</w:t>
            </w:r>
          </w:p>
        </w:tc>
      </w:tr>
      <w:tr>
        <w:tblPrEx>
          <w:tblCellMar>
            <w:top w:w="0" w:type="dxa"/>
            <w:left w:w="108" w:type="dxa"/>
            <w:bottom w:w="0" w:type="dxa"/>
            <w:right w:w="108" w:type="dxa"/>
          </w:tblCellMar>
        </w:tblPrEx>
        <w:trPr>
          <w:trHeight w:val="282" w:hRule="atLeast"/>
        </w:trPr>
        <w:tc>
          <w:tcPr>
            <w:tcW w:w="22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108" w:type="dxa"/>
            <w:bottom w:w="0" w:type="dxa"/>
            <w:right w:w="108" w:type="dxa"/>
          </w:tblCellMar>
        </w:tblPrEx>
        <w:trPr>
          <w:trHeight w:val="282" w:hRule="atLeast"/>
        </w:trPr>
        <w:tc>
          <w:tcPr>
            <w:tcW w:w="22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其中：本年财政拨款</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282" w:hRule="atLeast"/>
        </w:trPr>
        <w:tc>
          <w:tcPr>
            <w:tcW w:w="22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282"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年度总体目标</w:t>
            </w:r>
          </w:p>
        </w:tc>
        <w:tc>
          <w:tcPr>
            <w:tcW w:w="45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年初设定目标</w:t>
            </w:r>
          </w:p>
        </w:tc>
        <w:tc>
          <w:tcPr>
            <w:tcW w:w="40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年度总体目标完成情况综述</w:t>
            </w:r>
          </w:p>
        </w:tc>
      </w:tr>
      <w:tr>
        <w:tblPrEx>
          <w:tblCellMar>
            <w:top w:w="0" w:type="dxa"/>
            <w:left w:w="108" w:type="dxa"/>
            <w:bottom w:w="0" w:type="dxa"/>
            <w:right w:w="108" w:type="dxa"/>
          </w:tblCellMar>
        </w:tblPrEx>
        <w:trPr>
          <w:trHeight w:val="10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5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保育继代四川省柞蚕母种6个，原种2个，试验繁育杂交种1个，产母种茧0.5万粒，原种茧2万粒，生产杂交种30斤。微粒子病毒控制在2‰以内。</w:t>
            </w:r>
            <w:r>
              <w:rPr>
                <w:rFonts w:hint="eastAsia" w:ascii="宋体" w:hAnsi="宋体" w:cs="宋体"/>
                <w:color w:val="000000"/>
                <w:kern w:val="0"/>
                <w:sz w:val="18"/>
                <w:szCs w:val="18"/>
                <w:u w:val="none" w:color="46CD7E"/>
                <w:shd w:val="clear" w:fill="7F9698"/>
                <w:lang w:bidi="ar"/>
              </w:rPr>
              <w:t>改造</w:t>
            </w:r>
            <w:r>
              <w:rPr>
                <w:rFonts w:hint="eastAsia" w:ascii="宋体" w:hAnsi="宋体" w:cs="宋体"/>
                <w:color w:val="000000"/>
                <w:kern w:val="0"/>
                <w:sz w:val="18"/>
                <w:szCs w:val="18"/>
                <w:u w:val="none" w:color="46CD7E"/>
                <w:shd w:val="clear" w:color="auto" w:fill="7F9698"/>
                <w:lang w:bidi="ar"/>
              </w:rPr>
              <w:t>柞园</w:t>
            </w:r>
            <w:r>
              <w:rPr>
                <w:rFonts w:hint="eastAsia" w:ascii="宋体" w:hAnsi="宋体" w:cs="宋体"/>
                <w:color w:val="000000"/>
                <w:kern w:val="0"/>
                <w:sz w:val="18"/>
                <w:szCs w:val="18"/>
                <w:u w:val="none" w:color="46CD7E"/>
                <w:shd w:val="clear" w:fill="7F9698"/>
                <w:lang w:bidi="ar"/>
              </w:rPr>
              <w:t>2000亩。</w:t>
            </w:r>
          </w:p>
        </w:tc>
        <w:tc>
          <w:tcPr>
            <w:tcW w:w="40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保育继代四川省柞蚕母种6个，原种2个，试验繁育杂交种1个，产母种茧0.5万粒，原种茧2万粒，生产杂交种30斤。微粒子病毒控制在2‰以内。</w:t>
            </w:r>
            <w:r>
              <w:rPr>
                <w:rFonts w:hint="eastAsia" w:ascii="宋体" w:hAnsi="宋体" w:cs="宋体"/>
                <w:color w:val="000000"/>
                <w:kern w:val="0"/>
                <w:sz w:val="18"/>
                <w:szCs w:val="18"/>
                <w:u w:val="none" w:color="46CD7E"/>
                <w:shd w:val="clear" w:fill="auto"/>
                <w:lang w:bidi="ar"/>
              </w:rPr>
              <w:t>改造柞园2000亩。</w:t>
            </w:r>
          </w:p>
        </w:tc>
      </w:tr>
      <w:tr>
        <w:tblPrEx>
          <w:tblCellMar>
            <w:top w:w="0" w:type="dxa"/>
            <w:left w:w="108" w:type="dxa"/>
            <w:bottom w:w="0" w:type="dxa"/>
            <w:right w:w="108" w:type="dxa"/>
          </w:tblCellMar>
        </w:tblPrEx>
        <w:trPr>
          <w:trHeight w:val="48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绩效指标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一级</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指标</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三级指标</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分值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年度指标值</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全年实际值</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得分</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未完成原因及拟采取的改进措施</w:t>
            </w: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产</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出</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指</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标</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u w:val="none" w:color="46CD7E"/>
                <w:shd w:val="clear" w:fill="auto"/>
                <w:lang w:bidi="ar"/>
              </w:rPr>
              <w:t>(</w:t>
            </w:r>
            <w:r>
              <w:rPr>
                <w:rFonts w:hint="eastAsia" w:ascii="宋体" w:hAnsi="宋体" w:cs="宋体"/>
                <w:color w:val="000000"/>
                <w:kern w:val="0"/>
                <w:sz w:val="18"/>
                <w:szCs w:val="18"/>
                <w:lang w:bidi="ar"/>
              </w:rPr>
              <w:t>50分</w:t>
            </w:r>
            <w:r>
              <w:rPr>
                <w:rFonts w:hint="eastAsia" w:ascii="宋体" w:hAnsi="宋体" w:cs="宋体"/>
                <w:color w:val="000000"/>
                <w:kern w:val="0"/>
                <w:sz w:val="18"/>
                <w:szCs w:val="18"/>
                <w:u w:val="none" w:color="46CD7E"/>
                <w:shd w:val="clear" w:fill="auto"/>
                <w:lang w:bidi="ar"/>
              </w:rPr>
              <w:t>)</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母种6个</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≥0.5万粒</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1.6万粒</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原种2个</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≥2万粒</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3.5万粒</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杂交种1个</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≥30斤</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32斤</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母种微粒子带毒率</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原种微粒子带毒率</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≤0.8‰</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杂交种微粒子带毒率</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u w:val="none" w:color="46CD7E"/>
                <w:shd w:val="clear" w:color="auto" w:fill="FFEFD8"/>
                <w:lang w:bidi="ar"/>
              </w:rPr>
              <w:t>时效</w:t>
            </w:r>
            <w:r>
              <w:rPr>
                <w:rFonts w:hint="eastAsia" w:ascii="宋体" w:hAnsi="宋体" w:cs="宋体"/>
                <w:color w:val="000000"/>
                <w:kern w:val="0"/>
                <w:sz w:val="18"/>
                <w:szCs w:val="18"/>
                <w:lang w:bidi="ar"/>
              </w:rPr>
              <w:t>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母种</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1月-6月30日</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6月30日</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原种</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1月-12月31日</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12月31日</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杂交种</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1月-12月31日</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12月31日</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母种</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5万</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原种</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5万</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杂交种</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1.5万</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检验费</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0.7万</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0.7万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效</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益</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指</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标</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u w:val="none" w:color="46CD7E"/>
                <w:shd w:val="clear" w:fill="auto"/>
                <w:lang w:bidi="ar"/>
              </w:rPr>
              <w:t>(</w:t>
            </w:r>
            <w:r>
              <w:rPr>
                <w:rFonts w:hint="eastAsia" w:ascii="宋体" w:hAnsi="宋体" w:cs="宋体"/>
                <w:color w:val="000000"/>
                <w:kern w:val="0"/>
                <w:sz w:val="18"/>
                <w:szCs w:val="18"/>
                <w:lang w:bidi="ar"/>
              </w:rPr>
              <w:t>30分</w:t>
            </w:r>
            <w:r>
              <w:rPr>
                <w:rFonts w:hint="eastAsia" w:ascii="宋体" w:hAnsi="宋体" w:cs="宋体"/>
                <w:color w:val="000000"/>
                <w:kern w:val="0"/>
                <w:sz w:val="18"/>
                <w:szCs w:val="18"/>
                <w:u w:val="none" w:color="46CD7E"/>
                <w:shd w:val="clear" w:fill="auto"/>
                <w:lang w:bidi="ar"/>
              </w:rPr>
              <w:t>)</w:t>
            </w:r>
          </w:p>
        </w:tc>
        <w:tc>
          <w:tcPr>
            <w:tcW w:w="939"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经济效益</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指标</w:t>
            </w:r>
          </w:p>
        </w:tc>
        <w:tc>
          <w:tcPr>
            <w:tcW w:w="211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u w:val="none" w:color="46CD7E"/>
                <w:shd w:val="clear" w:fill="auto"/>
                <w:lang w:bidi="ar"/>
              </w:rPr>
              <w:t>母种知识产权及科技成果转化</w:t>
            </w:r>
          </w:p>
        </w:tc>
        <w:tc>
          <w:tcPr>
            <w:tcW w:w="66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≥100万元</w:t>
            </w:r>
          </w:p>
        </w:tc>
        <w:tc>
          <w:tcPr>
            <w:tcW w:w="1054" w:type="dxa"/>
            <w:tcBorders>
              <w:top w:val="nil"/>
              <w:left w:val="nil"/>
              <w:bottom w:val="single" w:color="auto" w:sz="4" w:space="0"/>
              <w:right w:val="nil"/>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101万元</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u w:val="none" w:color="46CD7E"/>
                <w:shd w:val="clear" w:color="auto" w:fill="FFEFD8"/>
                <w:lang w:bidi="ar"/>
              </w:rPr>
              <w:t>原种</w:t>
            </w:r>
            <w:r>
              <w:rPr>
                <w:rFonts w:hint="eastAsia" w:ascii="宋体" w:hAnsi="宋体" w:cs="宋体"/>
                <w:color w:val="000000"/>
                <w:kern w:val="0"/>
                <w:sz w:val="18"/>
                <w:szCs w:val="18"/>
                <w:lang w:bidi="ar"/>
              </w:rPr>
              <w:t>知识产权及科技成果转化</w:t>
            </w:r>
          </w:p>
        </w:tc>
        <w:tc>
          <w:tcPr>
            <w:tcW w:w="66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≥50万元</w:t>
            </w:r>
          </w:p>
        </w:tc>
        <w:tc>
          <w:tcPr>
            <w:tcW w:w="105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50万元</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杂交种产值，农民饲养</w:t>
            </w:r>
            <w:r>
              <w:rPr>
                <w:rFonts w:hint="eastAsia" w:ascii="宋体" w:hAnsi="宋体" w:cs="宋体"/>
                <w:color w:val="000000"/>
                <w:kern w:val="0"/>
                <w:sz w:val="18"/>
                <w:szCs w:val="18"/>
                <w:u w:val="thick" w:color="46CD7E"/>
                <w:shd w:val="clear" w:color="auto" w:fill="DAF5E5"/>
                <w:lang w:bidi="ar"/>
              </w:rPr>
              <w:t>售价</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≥60万元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66万元</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社会效益</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发展农户养蚕增收脱贫致富</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≥20户</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22户</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生态效益</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水土保持率</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u w:val="none" w:color="46CD7E"/>
                <w:shd w:val="clear" w:fill="auto"/>
              </w:rPr>
            </w:pPr>
            <w:r>
              <w:rPr>
                <w:rFonts w:hint="eastAsia" w:ascii="宋体" w:hAnsi="宋体" w:cs="宋体"/>
                <w:color w:val="000000"/>
                <w:kern w:val="0"/>
                <w:sz w:val="18"/>
                <w:szCs w:val="18"/>
                <w:u w:val="none" w:color="46CD7E"/>
                <w:shd w:val="clear" w:fill="auto"/>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u w:val="none" w:color="46CD7E"/>
                <w:shd w:val="clear" w:fill="auto"/>
              </w:rPr>
            </w:pPr>
          </w:p>
        </w:tc>
      </w:tr>
      <w:tr>
        <w:tblPrEx>
          <w:tblCellMar>
            <w:top w:w="0" w:type="dxa"/>
            <w:left w:w="108" w:type="dxa"/>
            <w:bottom w:w="0" w:type="dxa"/>
            <w:right w:w="108" w:type="dxa"/>
          </w:tblCellMar>
        </w:tblPrEx>
        <w:trPr>
          <w:trHeight w:val="4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本行业未来可持续发展的影响</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长期，可持续</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长期，可持续</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满意度指标</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u w:val="none" w:color="46CD7E"/>
                <w:shd w:val="clear" w:fill="auto"/>
                <w:lang w:bidi="ar"/>
              </w:rPr>
              <w:t>(</w:t>
            </w:r>
            <w:r>
              <w:rPr>
                <w:rFonts w:hint="eastAsia" w:ascii="宋体" w:hAnsi="宋体" w:cs="宋体"/>
                <w:color w:val="000000"/>
                <w:kern w:val="0"/>
                <w:sz w:val="18"/>
                <w:szCs w:val="18"/>
                <w:lang w:bidi="ar"/>
              </w:rPr>
              <w:t>10分</w:t>
            </w:r>
            <w:r>
              <w:rPr>
                <w:rFonts w:hint="eastAsia" w:ascii="宋体" w:hAnsi="宋体" w:cs="宋体"/>
                <w:color w:val="000000"/>
                <w:kern w:val="0"/>
                <w:sz w:val="18"/>
                <w:szCs w:val="18"/>
                <w:u w:val="none" w:color="46CD7E"/>
                <w:shd w:val="clear" w:fill="auto"/>
                <w:lang w:bidi="ar"/>
              </w:rPr>
              <w:t>)</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服务对象</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蚕农对技术推广指导满意度</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总分</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90</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90</w:t>
            </w:r>
          </w:p>
        </w:tc>
        <w:tc>
          <w:tcPr>
            <w:tcW w:w="1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spacing w:line="600" w:lineRule="exact"/>
        <w:jc w:val="center"/>
        <w:rPr>
          <w:rFonts w:ascii="黑体" w:hAnsi="黑体" w:eastAsia="黑体"/>
          <w:sz w:val="44"/>
          <w:szCs w:val="44"/>
        </w:rPr>
      </w:pPr>
    </w:p>
    <w:p>
      <w:pPr>
        <w:pStyle w:val="2"/>
        <w:ind w:firstLine="880"/>
        <w:rPr>
          <w:rFonts w:ascii="黑体" w:hAnsi="黑体" w:eastAsia="黑体"/>
          <w:sz w:val="44"/>
          <w:szCs w:val="44"/>
        </w:rPr>
      </w:pPr>
    </w:p>
    <w:p>
      <w:pPr>
        <w:rPr>
          <w:rFonts w:ascii="黑体" w:hAnsi="黑体" w:eastAsia="黑体"/>
          <w:sz w:val="44"/>
          <w:szCs w:val="44"/>
        </w:rPr>
      </w:pPr>
    </w:p>
    <w:p>
      <w:pPr>
        <w:pStyle w:val="2"/>
        <w:ind w:firstLine="880"/>
        <w:rPr>
          <w:rFonts w:ascii="黑体" w:hAnsi="黑体" w:eastAsia="黑体"/>
          <w:sz w:val="44"/>
          <w:szCs w:val="44"/>
        </w:rPr>
      </w:pPr>
    </w:p>
    <w:p/>
    <w:p>
      <w:pPr>
        <w:spacing w:line="600" w:lineRule="exact"/>
        <w:jc w:val="center"/>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tbl>
      <w:tblPr>
        <w:tblStyle w:val="11"/>
        <w:tblpPr w:leftFromText="180" w:rightFromText="180" w:vertAnchor="text" w:horzAnchor="page" w:tblpX="1600" w:tblpY="564"/>
        <w:tblOverlap w:val="never"/>
        <w:tblW w:w="9930" w:type="dxa"/>
        <w:tblInd w:w="0" w:type="dxa"/>
        <w:tblLayout w:type="fixed"/>
        <w:tblCellMar>
          <w:top w:w="0" w:type="dxa"/>
          <w:left w:w="108" w:type="dxa"/>
          <w:bottom w:w="0" w:type="dxa"/>
          <w:right w:w="108" w:type="dxa"/>
        </w:tblCellMar>
      </w:tblPr>
      <w:tblGrid>
        <w:gridCol w:w="555"/>
        <w:gridCol w:w="705"/>
        <w:gridCol w:w="942"/>
        <w:gridCol w:w="2494"/>
        <w:gridCol w:w="330"/>
        <w:gridCol w:w="599"/>
        <w:gridCol w:w="1302"/>
        <w:gridCol w:w="966"/>
        <w:gridCol w:w="688"/>
        <w:gridCol w:w="914"/>
        <w:gridCol w:w="435"/>
      </w:tblGrid>
      <w:tr>
        <w:tblPrEx>
          <w:tblCellMar>
            <w:top w:w="0" w:type="dxa"/>
            <w:left w:w="108" w:type="dxa"/>
            <w:bottom w:w="0" w:type="dxa"/>
            <w:right w:w="108" w:type="dxa"/>
          </w:tblCellMar>
        </w:tblPrEx>
        <w:trPr>
          <w:trHeight w:val="580" w:hRule="atLeast"/>
        </w:trPr>
        <w:tc>
          <w:tcPr>
            <w:tcW w:w="1260" w:type="dxa"/>
            <w:gridSpan w:val="2"/>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附件3：</w:t>
            </w:r>
          </w:p>
        </w:tc>
        <w:tc>
          <w:tcPr>
            <w:tcW w:w="942"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2494"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330" w:type="dxa"/>
            <w:tcBorders>
              <w:top w:val="nil"/>
              <w:left w:val="nil"/>
              <w:bottom w:val="nil"/>
              <w:right w:val="nil"/>
            </w:tcBorders>
            <w:shd w:val="clear" w:color="auto" w:fill="auto"/>
            <w:vAlign w:val="center"/>
          </w:tcPr>
          <w:p>
            <w:pPr>
              <w:rPr>
                <w:rFonts w:ascii="宋体" w:hAnsi="宋体" w:cs="宋体"/>
                <w:color w:val="000000"/>
                <w:sz w:val="24"/>
              </w:rPr>
            </w:pPr>
          </w:p>
        </w:tc>
        <w:tc>
          <w:tcPr>
            <w:tcW w:w="599" w:type="dxa"/>
            <w:tcBorders>
              <w:top w:val="nil"/>
              <w:left w:val="nil"/>
              <w:bottom w:val="nil"/>
              <w:right w:val="nil"/>
            </w:tcBorders>
            <w:shd w:val="clear" w:color="auto" w:fill="auto"/>
            <w:vAlign w:val="center"/>
          </w:tcPr>
          <w:p>
            <w:pPr>
              <w:rPr>
                <w:rFonts w:ascii="宋体" w:hAnsi="宋体" w:cs="宋体"/>
                <w:color w:val="000000"/>
                <w:sz w:val="24"/>
              </w:rPr>
            </w:pPr>
          </w:p>
        </w:tc>
        <w:tc>
          <w:tcPr>
            <w:tcW w:w="1302" w:type="dxa"/>
            <w:tcBorders>
              <w:top w:val="nil"/>
              <w:left w:val="nil"/>
              <w:bottom w:val="nil"/>
              <w:right w:val="nil"/>
            </w:tcBorders>
            <w:shd w:val="clear" w:color="auto" w:fill="auto"/>
            <w:vAlign w:val="center"/>
          </w:tcPr>
          <w:p>
            <w:pPr>
              <w:rPr>
                <w:rFonts w:ascii="宋体" w:hAnsi="宋体" w:cs="宋体"/>
                <w:color w:val="000000"/>
                <w:sz w:val="24"/>
              </w:rPr>
            </w:pPr>
          </w:p>
        </w:tc>
        <w:tc>
          <w:tcPr>
            <w:tcW w:w="966" w:type="dxa"/>
            <w:tcBorders>
              <w:top w:val="nil"/>
              <w:left w:val="nil"/>
              <w:bottom w:val="nil"/>
              <w:right w:val="nil"/>
            </w:tcBorders>
            <w:shd w:val="clear" w:color="auto" w:fill="auto"/>
            <w:vAlign w:val="center"/>
          </w:tcPr>
          <w:p>
            <w:pPr>
              <w:rPr>
                <w:rFonts w:ascii="宋体" w:hAnsi="宋体" w:cs="宋体"/>
                <w:color w:val="000000"/>
                <w:sz w:val="24"/>
              </w:rPr>
            </w:pPr>
          </w:p>
        </w:tc>
        <w:tc>
          <w:tcPr>
            <w:tcW w:w="688" w:type="dxa"/>
            <w:tcBorders>
              <w:top w:val="nil"/>
              <w:left w:val="nil"/>
              <w:bottom w:val="nil"/>
              <w:right w:val="nil"/>
            </w:tcBorders>
            <w:shd w:val="clear" w:color="auto" w:fill="auto"/>
            <w:vAlign w:val="center"/>
          </w:tcPr>
          <w:p>
            <w:pPr>
              <w:rPr>
                <w:rFonts w:ascii="宋体" w:hAnsi="宋体" w:cs="宋体"/>
                <w:color w:val="000000"/>
                <w:sz w:val="24"/>
              </w:rPr>
            </w:pPr>
          </w:p>
        </w:tc>
        <w:tc>
          <w:tcPr>
            <w:tcW w:w="914" w:type="dxa"/>
            <w:tcBorders>
              <w:top w:val="nil"/>
              <w:left w:val="nil"/>
              <w:bottom w:val="nil"/>
              <w:right w:val="nil"/>
            </w:tcBorders>
            <w:shd w:val="clear" w:color="auto" w:fill="auto"/>
            <w:vAlign w:val="center"/>
          </w:tcPr>
          <w:p>
            <w:pPr>
              <w:rPr>
                <w:rFonts w:ascii="宋体" w:hAnsi="宋体" w:cs="宋体"/>
                <w:color w:val="000000"/>
                <w:sz w:val="24"/>
              </w:rPr>
            </w:pPr>
          </w:p>
        </w:tc>
        <w:tc>
          <w:tcPr>
            <w:tcW w:w="435" w:type="dxa"/>
            <w:tcBorders>
              <w:top w:val="nil"/>
              <w:left w:val="nil"/>
              <w:bottom w:val="nil"/>
              <w:right w:val="nil"/>
            </w:tcBorders>
            <w:shd w:val="clear" w:color="auto" w:fill="auto"/>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570" w:hRule="atLeast"/>
        </w:trPr>
        <w:tc>
          <w:tcPr>
            <w:tcW w:w="9930"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lang w:bidi="ar"/>
              </w:rPr>
              <w:t>绩效目标自评表</w:t>
            </w:r>
            <w:r>
              <w:rPr>
                <w:rFonts w:hint="eastAsia" w:ascii="宋体" w:hAnsi="宋体" w:cs="宋体"/>
                <w:color w:val="000000"/>
                <w:kern w:val="0"/>
                <w:sz w:val="32"/>
                <w:szCs w:val="32"/>
                <w:lang w:bidi="ar"/>
              </w:rPr>
              <w:t xml:space="preserve"> </w:t>
            </w:r>
          </w:p>
        </w:tc>
      </w:tr>
      <w:tr>
        <w:tblPrEx>
          <w:tblCellMar>
            <w:top w:w="0" w:type="dxa"/>
            <w:left w:w="108" w:type="dxa"/>
            <w:bottom w:w="0" w:type="dxa"/>
            <w:right w:w="108" w:type="dxa"/>
          </w:tblCellMar>
        </w:tblPrEx>
        <w:trPr>
          <w:trHeight w:val="420" w:hRule="atLeast"/>
        </w:trPr>
        <w:tc>
          <w:tcPr>
            <w:tcW w:w="9930"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lang w:bidi="ar"/>
              </w:rPr>
              <w:t>（2021年度）</w:t>
            </w:r>
          </w:p>
        </w:tc>
      </w:tr>
      <w:tr>
        <w:tblPrEx>
          <w:tblCellMar>
            <w:top w:w="0" w:type="dxa"/>
            <w:left w:w="108" w:type="dxa"/>
            <w:bottom w:w="0" w:type="dxa"/>
            <w:right w:w="108" w:type="dxa"/>
          </w:tblCellMar>
        </w:tblPrEx>
        <w:trPr>
          <w:trHeight w:val="555" w:hRule="atLeast"/>
        </w:trPr>
        <w:tc>
          <w:tcPr>
            <w:tcW w:w="2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通江县</w:t>
            </w:r>
            <w:r>
              <w:rPr>
                <w:rFonts w:hint="eastAsia" w:ascii="宋体" w:hAnsi="宋体" w:cs="宋体"/>
                <w:color w:val="000000"/>
                <w:kern w:val="0"/>
                <w:sz w:val="20"/>
                <w:szCs w:val="20"/>
                <w:u w:val="none" w:color="46CD7E"/>
                <w:shd w:val="clear" w:color="auto" w:fill="FFEFD8"/>
                <w:lang w:bidi="ar"/>
              </w:rPr>
              <w:t>现场</w:t>
            </w:r>
            <w:r>
              <w:rPr>
                <w:rFonts w:hint="eastAsia" w:ascii="宋体" w:hAnsi="宋体" w:cs="宋体"/>
                <w:color w:val="000000"/>
                <w:kern w:val="0"/>
                <w:sz w:val="20"/>
                <w:szCs w:val="20"/>
                <w:lang w:bidi="ar"/>
              </w:rPr>
              <w:t>种业提升工程-柞蚕种质资源保护与利用项目</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项目负责人及电话</w:t>
            </w:r>
          </w:p>
        </w:tc>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周林（</w:t>
            </w:r>
            <w:r>
              <w:rPr>
                <w:rFonts w:hint="eastAsia" w:ascii="宋体" w:hAnsi="宋体" w:cs="宋体"/>
                <w:color w:val="000000"/>
                <w:kern w:val="0"/>
                <w:sz w:val="20"/>
                <w:szCs w:val="20"/>
                <w:u w:val="none" w:color="46CD7E"/>
                <w:shd w:val="clear" w:fill="auto"/>
                <w:lang w:bidi="ar"/>
              </w:rPr>
              <w:t>13330610666</w:t>
            </w:r>
            <w:r>
              <w:rPr>
                <w:rFonts w:hint="eastAsia" w:ascii="宋体" w:hAnsi="宋体" w:cs="宋体"/>
                <w:color w:val="000000"/>
                <w:kern w:val="0"/>
                <w:sz w:val="20"/>
                <w:szCs w:val="20"/>
                <w:lang w:bidi="ar"/>
              </w:rPr>
              <w:t>）</w:t>
            </w:r>
          </w:p>
        </w:tc>
      </w:tr>
      <w:tr>
        <w:tblPrEx>
          <w:tblCellMar>
            <w:top w:w="0" w:type="dxa"/>
            <w:left w:w="108" w:type="dxa"/>
            <w:bottom w:w="0" w:type="dxa"/>
            <w:right w:w="108" w:type="dxa"/>
          </w:tblCellMar>
        </w:tblPrEx>
        <w:trPr>
          <w:trHeight w:val="300" w:hRule="atLeast"/>
        </w:trPr>
        <w:tc>
          <w:tcPr>
            <w:tcW w:w="2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p>
        </w:tc>
        <w:tc>
          <w:tcPr>
            <w:tcW w:w="3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通江县农业农村局</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p>
        </w:tc>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通江县柞蚕种场</w:t>
            </w:r>
          </w:p>
        </w:tc>
      </w:tr>
      <w:tr>
        <w:tblPrEx>
          <w:tblCellMar>
            <w:top w:w="0" w:type="dxa"/>
            <w:left w:w="108" w:type="dxa"/>
            <w:bottom w:w="0" w:type="dxa"/>
            <w:right w:w="108" w:type="dxa"/>
          </w:tblCellMar>
        </w:tblPrEx>
        <w:trPr>
          <w:trHeight w:val="465" w:hRule="atLeast"/>
        </w:trPr>
        <w:tc>
          <w:tcPr>
            <w:tcW w:w="220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（万元）</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全年预算数（A）</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全年执行数（B）</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分值</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执行率（B/A)</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得分</w:t>
            </w:r>
          </w:p>
        </w:tc>
      </w:tr>
      <w:tr>
        <w:tblPrEx>
          <w:tblCellMar>
            <w:top w:w="0" w:type="dxa"/>
            <w:left w:w="108" w:type="dxa"/>
            <w:bottom w:w="0" w:type="dxa"/>
            <w:right w:w="108" w:type="dxa"/>
          </w:tblCellMar>
        </w:tblPrEx>
        <w:trPr>
          <w:trHeight w:val="282" w:hRule="atLeast"/>
        </w:trPr>
        <w:tc>
          <w:tcPr>
            <w:tcW w:w="22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282" w:hRule="atLeast"/>
        </w:trPr>
        <w:tc>
          <w:tcPr>
            <w:tcW w:w="22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其中：本年财政拨款</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r>
      <w:tr>
        <w:tblPrEx>
          <w:tblCellMar>
            <w:top w:w="0" w:type="dxa"/>
            <w:left w:w="108" w:type="dxa"/>
            <w:bottom w:w="0" w:type="dxa"/>
            <w:right w:w="108" w:type="dxa"/>
          </w:tblCellMar>
        </w:tblPrEx>
        <w:trPr>
          <w:trHeight w:val="282" w:hRule="atLeast"/>
        </w:trPr>
        <w:tc>
          <w:tcPr>
            <w:tcW w:w="22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其他资金</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r>
      <w:tr>
        <w:tblPrEx>
          <w:tblCellMar>
            <w:top w:w="0" w:type="dxa"/>
            <w:left w:w="108" w:type="dxa"/>
            <w:bottom w:w="0" w:type="dxa"/>
            <w:right w:w="108" w:type="dxa"/>
          </w:tblCellMar>
        </w:tblPrEx>
        <w:trPr>
          <w:trHeight w:val="28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w:t>
            </w:r>
          </w:p>
        </w:tc>
        <w:tc>
          <w:tcPr>
            <w:tcW w:w="50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年初设定目标</w:t>
            </w:r>
          </w:p>
        </w:tc>
        <w:tc>
          <w:tcPr>
            <w:tcW w:w="43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年度总体目标完成情况综述</w:t>
            </w:r>
          </w:p>
        </w:tc>
      </w:tr>
      <w:tr>
        <w:tblPrEx>
          <w:tblCellMar>
            <w:top w:w="0" w:type="dxa"/>
            <w:left w:w="108" w:type="dxa"/>
            <w:bottom w:w="0" w:type="dxa"/>
            <w:right w:w="108" w:type="dxa"/>
          </w:tblCellMar>
        </w:tblPrEx>
        <w:trPr>
          <w:trHeight w:val="7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1.有效保存继代柞蚕种质资源10份；                                                             2.微粒子病毒，母种控制在0.5‰以下，原种1‰以下；                                              3.生产合格母种茧1.5万粒，原种茧3万粒。</w:t>
            </w:r>
          </w:p>
        </w:tc>
        <w:tc>
          <w:tcPr>
            <w:tcW w:w="43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5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绩效指标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三级指标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分值</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年度指标值</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全年实际值</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得分</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未完成原因及拟采取的改进措施</w:t>
            </w: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产</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出</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指</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fill="auto"/>
                <w:lang w:bidi="ar"/>
              </w:rPr>
              <w:t>(</w:t>
            </w:r>
            <w:r>
              <w:rPr>
                <w:rFonts w:hint="eastAsia" w:ascii="宋体" w:hAnsi="宋体" w:cs="宋体"/>
                <w:color w:val="000000"/>
                <w:kern w:val="0"/>
                <w:sz w:val="20"/>
                <w:szCs w:val="20"/>
                <w:lang w:bidi="ar"/>
              </w:rPr>
              <w:t>50分</w:t>
            </w:r>
            <w:r>
              <w:rPr>
                <w:rFonts w:hint="eastAsia" w:ascii="宋体" w:hAnsi="宋体" w:cs="宋体"/>
                <w:color w:val="000000"/>
                <w:kern w:val="0"/>
                <w:sz w:val="20"/>
                <w:szCs w:val="20"/>
                <w:u w:val="none" w:color="46CD7E"/>
                <w:shd w:val="clear" w:fill="auto"/>
                <w:lang w:bidi="ar"/>
              </w:rPr>
              <w:t>)</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种质资源保存</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≥10份</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10份</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合格母种茧</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≥1.5万粒</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1.6万粒</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合格原种茧</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≥3万粒</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3.2万粒</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质量指标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母种微粒子带毒率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≤0.5‰</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0.2‰</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原种微粒子带毒率</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color="auto" w:fill="FFEFD8"/>
                <w:lang w:bidi="ar"/>
              </w:rPr>
              <w:t>时效</w:t>
            </w:r>
            <w:r>
              <w:rPr>
                <w:rFonts w:hint="eastAsia" w:ascii="宋体" w:hAnsi="宋体" w:cs="宋体"/>
                <w:color w:val="000000"/>
                <w:kern w:val="0"/>
                <w:sz w:val="20"/>
                <w:szCs w:val="20"/>
                <w:lang w:bidi="ar"/>
              </w:rPr>
              <w:t>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母种保存继代</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1月-6月</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1-6月</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原种保存继代</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1月-12月</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1-12月</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成本指标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母种保存继代</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20万</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20万</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原种保存继代</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10万</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10万</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效</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益</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指</w:t>
            </w:r>
          </w:p>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fill="auto"/>
                <w:lang w:bidi="ar"/>
              </w:rPr>
              <w:t>(</w:t>
            </w:r>
            <w:r>
              <w:rPr>
                <w:rFonts w:hint="eastAsia" w:ascii="宋体" w:hAnsi="宋体" w:cs="宋体"/>
                <w:color w:val="000000"/>
                <w:kern w:val="0"/>
                <w:sz w:val="20"/>
                <w:szCs w:val="20"/>
                <w:lang w:bidi="ar"/>
              </w:rPr>
              <w:t>30分</w:t>
            </w:r>
            <w:r>
              <w:rPr>
                <w:rFonts w:hint="eastAsia" w:ascii="宋体" w:hAnsi="宋体" w:cs="宋体"/>
                <w:color w:val="000000"/>
                <w:kern w:val="0"/>
                <w:sz w:val="20"/>
                <w:szCs w:val="20"/>
                <w:u w:val="none" w:color="46CD7E"/>
                <w:shd w:val="clear" w:fill="auto"/>
                <w:lang w:bidi="ar"/>
              </w:rPr>
              <w:t>)</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经济效益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fill="auto"/>
                <w:lang w:bidi="ar"/>
              </w:rPr>
              <w:t>母种知识产权及科技成果转化</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≥100万元</w:t>
            </w:r>
          </w:p>
        </w:tc>
        <w:tc>
          <w:tcPr>
            <w:tcW w:w="966" w:type="dxa"/>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100万元</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color="auto" w:fill="7F9698"/>
                <w:lang w:bidi="ar"/>
              </w:rPr>
              <w:t>原种</w:t>
            </w:r>
            <w:r>
              <w:rPr>
                <w:rFonts w:hint="eastAsia" w:ascii="宋体" w:hAnsi="宋体" w:cs="宋体"/>
                <w:color w:val="000000"/>
                <w:kern w:val="0"/>
                <w:sz w:val="20"/>
                <w:szCs w:val="20"/>
                <w:u w:val="none" w:color="46CD7E"/>
                <w:shd w:val="clear" w:fill="7F9698"/>
                <w:lang w:bidi="ar"/>
              </w:rPr>
              <w:t>知识产权及科技成果转化</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≥50万元</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50万元</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农民饲养柞蚕售茧</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≥30万元</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30万元</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社会效益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发展农户养蚕增收致富</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≥20户</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21户</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解决当地农民就业</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≥20人</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21人</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生态效益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栽植柞树</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≥500株</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500株</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柞林管护</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≥2000亩</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2000亩</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可持续影响指标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柞蚕品种保存继代</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长期研发、试验新品种</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满意度指标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none" w:color="46CD7E"/>
                <w:shd w:val="clear" w:fill="auto"/>
                <w:lang w:bidi="ar"/>
              </w:rPr>
              <w:t>(</w:t>
            </w:r>
            <w:r>
              <w:rPr>
                <w:rFonts w:hint="eastAsia" w:ascii="宋体" w:hAnsi="宋体" w:cs="宋体"/>
                <w:color w:val="000000"/>
                <w:kern w:val="0"/>
                <w:sz w:val="20"/>
                <w:szCs w:val="20"/>
                <w:lang w:bidi="ar"/>
              </w:rPr>
              <w:t>10分</w:t>
            </w:r>
            <w:r>
              <w:rPr>
                <w:rFonts w:hint="eastAsia" w:ascii="宋体" w:hAnsi="宋体" w:cs="宋体"/>
                <w:color w:val="000000"/>
                <w:kern w:val="0"/>
                <w:sz w:val="20"/>
                <w:szCs w:val="20"/>
                <w:u w:val="none" w:color="46CD7E"/>
                <w:shd w:val="clear" w:fill="auto"/>
                <w:lang w:bidi="ar"/>
              </w:rPr>
              <w:t>)</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服务对象</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满意度指标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蚕农对技术推广指导满意度</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0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总分</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90</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90</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6"/>
        <w:spacing w:before="93"/>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p>
      <w:pPr>
        <w:pStyle w:val="6"/>
        <w:spacing w:before="93"/>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outlineLvl w:val="0"/>
        <w:rPr>
          <w:rFonts w:ascii="仿宋" w:hAnsi="仿宋" w:eastAsia="仿宋"/>
        </w:rPr>
      </w:pPr>
      <w:bookmarkStart w:id="74" w:name="_Toc20488"/>
      <w:r>
        <w:rPr>
          <w:rFonts w:hint="eastAsia" w:ascii="黑体" w:hAnsi="黑体" w:eastAsia="黑体"/>
          <w:sz w:val="44"/>
          <w:szCs w:val="44"/>
        </w:rPr>
        <w:t>第</w:t>
      </w:r>
      <w:r>
        <w:rPr>
          <w:rStyle w:val="14"/>
          <w:rFonts w:hint="eastAsia" w:ascii="黑体" w:hAnsi="黑体" w:eastAsia="黑体"/>
          <w:b w:val="0"/>
        </w:rPr>
        <w:t>五部分 附表</w:t>
      </w:r>
      <w:bookmarkEnd w:id="70"/>
      <w:bookmarkEnd w:id="73"/>
      <w:bookmarkEnd w:id="74"/>
      <w:bookmarkStart w:id="75" w:name="_Toc15396619"/>
    </w:p>
    <w:p>
      <w:pPr>
        <w:pStyle w:val="5"/>
        <w:spacing w:before="0" w:after="0" w:line="640" w:lineRule="exact"/>
        <w:rPr>
          <w:rFonts w:ascii="仿宋_GB2312" w:hAnsi="仿宋_GB2312" w:eastAsia="仿宋_GB2312" w:cs="仿宋_GB2312"/>
          <w:b w:val="0"/>
        </w:rPr>
      </w:pPr>
      <w:bookmarkStart w:id="76" w:name="_Toc912"/>
    </w:p>
    <w:p>
      <w:pPr>
        <w:pStyle w:val="5"/>
        <w:spacing w:before="0" w:after="0" w:line="640" w:lineRule="exact"/>
        <w:rPr>
          <w:rFonts w:ascii="仿宋_GB2312" w:hAnsi="仿宋_GB2312" w:eastAsia="仿宋_GB2312" w:cs="仿宋_GB2312"/>
        </w:rPr>
      </w:pPr>
      <w:r>
        <w:rPr>
          <w:rFonts w:hint="eastAsia" w:ascii="仿宋_GB2312" w:hAnsi="仿宋_GB2312" w:eastAsia="仿宋_GB2312" w:cs="仿宋_GB2312"/>
          <w:b w:val="0"/>
        </w:rPr>
        <w:t>一、收</w:t>
      </w:r>
      <w:r>
        <w:rPr>
          <w:rStyle w:val="15"/>
          <w:rFonts w:hint="eastAsia" w:ascii="仿宋_GB2312" w:hAnsi="仿宋_GB2312" w:eastAsia="仿宋_GB2312" w:cs="仿宋_GB2312"/>
          <w:b w:val="0"/>
          <w:bCs w:val="0"/>
        </w:rPr>
        <w:t>入支出决算总表</w:t>
      </w:r>
      <w:bookmarkEnd w:id="75"/>
      <w:bookmarkEnd w:id="76"/>
    </w:p>
    <w:p>
      <w:pPr>
        <w:pStyle w:val="5"/>
        <w:numPr>
          <w:ilvl w:val="0"/>
          <w:numId w:val="6"/>
        </w:numPr>
        <w:spacing w:before="0" w:after="0" w:line="640" w:lineRule="exact"/>
        <w:rPr>
          <w:rFonts w:ascii="仿宋_GB2312" w:hAnsi="仿宋_GB2312" w:eastAsia="仿宋_GB2312" w:cs="仿宋_GB2312"/>
        </w:rPr>
      </w:pPr>
      <w:bookmarkStart w:id="77" w:name="_Toc15396620"/>
      <w:bookmarkStart w:id="78" w:name="_Toc16083"/>
      <w:r>
        <w:rPr>
          <w:rFonts w:hint="eastAsia" w:ascii="仿宋_GB2312" w:hAnsi="仿宋_GB2312" w:eastAsia="仿宋_GB2312" w:cs="仿宋_GB2312"/>
          <w:b w:val="0"/>
        </w:rPr>
        <w:t>收</w:t>
      </w:r>
      <w:r>
        <w:rPr>
          <w:rStyle w:val="15"/>
          <w:rFonts w:hint="eastAsia" w:ascii="仿宋_GB2312" w:hAnsi="仿宋_GB2312" w:eastAsia="仿宋_GB2312" w:cs="仿宋_GB2312"/>
          <w:b w:val="0"/>
          <w:bCs w:val="0"/>
        </w:rPr>
        <w:t>入决算表</w:t>
      </w:r>
      <w:bookmarkEnd w:id="77"/>
      <w:bookmarkEnd w:id="78"/>
    </w:p>
    <w:p>
      <w:pPr>
        <w:pStyle w:val="5"/>
        <w:numPr>
          <w:ilvl w:val="0"/>
          <w:numId w:val="6"/>
        </w:numPr>
        <w:spacing w:before="0" w:after="0" w:line="640" w:lineRule="exact"/>
        <w:rPr>
          <w:rFonts w:ascii="仿宋_GB2312" w:hAnsi="仿宋_GB2312" w:eastAsia="仿宋_GB2312" w:cs="仿宋_GB2312"/>
        </w:rPr>
      </w:pPr>
      <w:bookmarkStart w:id="79" w:name="_Toc15396621"/>
      <w:bookmarkStart w:id="80" w:name="_Toc8169"/>
      <w:r>
        <w:rPr>
          <w:rFonts w:hint="eastAsia" w:ascii="仿宋_GB2312" w:hAnsi="仿宋_GB2312" w:eastAsia="仿宋_GB2312" w:cs="仿宋_GB2312"/>
          <w:b w:val="0"/>
        </w:rPr>
        <w:t>支</w:t>
      </w:r>
      <w:r>
        <w:rPr>
          <w:rStyle w:val="15"/>
          <w:rFonts w:hint="eastAsia" w:ascii="仿宋_GB2312" w:hAnsi="仿宋_GB2312" w:eastAsia="仿宋_GB2312" w:cs="仿宋_GB2312"/>
          <w:b w:val="0"/>
          <w:bCs w:val="0"/>
        </w:rPr>
        <w:t>出决算表</w:t>
      </w:r>
      <w:bookmarkEnd w:id="79"/>
      <w:bookmarkEnd w:id="80"/>
    </w:p>
    <w:p>
      <w:pPr>
        <w:pStyle w:val="5"/>
        <w:numPr>
          <w:ilvl w:val="0"/>
          <w:numId w:val="6"/>
        </w:numPr>
        <w:spacing w:before="0" w:after="0" w:line="640" w:lineRule="exact"/>
        <w:rPr>
          <w:rFonts w:ascii="仿宋_GB2312" w:hAnsi="仿宋_GB2312" w:eastAsia="仿宋_GB2312" w:cs="仿宋_GB2312"/>
        </w:rPr>
      </w:pPr>
      <w:bookmarkStart w:id="81" w:name="_Toc18100"/>
      <w:bookmarkStart w:id="82" w:name="_Toc15396622"/>
      <w:r>
        <w:rPr>
          <w:rFonts w:hint="eastAsia" w:ascii="仿宋_GB2312" w:hAnsi="仿宋_GB2312" w:eastAsia="仿宋_GB2312" w:cs="仿宋_GB2312"/>
          <w:b w:val="0"/>
        </w:rPr>
        <w:t>财</w:t>
      </w:r>
      <w:r>
        <w:rPr>
          <w:rStyle w:val="15"/>
          <w:rFonts w:hint="eastAsia" w:ascii="仿宋_GB2312" w:hAnsi="仿宋_GB2312" w:eastAsia="仿宋_GB2312" w:cs="仿宋_GB2312"/>
          <w:b w:val="0"/>
          <w:bCs w:val="0"/>
        </w:rPr>
        <w:t>政拨款收入支出决算总表</w:t>
      </w:r>
      <w:bookmarkEnd w:id="81"/>
      <w:bookmarkEnd w:id="82"/>
    </w:p>
    <w:p>
      <w:pPr>
        <w:pStyle w:val="5"/>
        <w:numPr>
          <w:ilvl w:val="0"/>
          <w:numId w:val="6"/>
        </w:numPr>
        <w:spacing w:before="0" w:after="0" w:line="640" w:lineRule="exact"/>
        <w:rPr>
          <w:rFonts w:ascii="仿宋_GB2312" w:hAnsi="仿宋_GB2312" w:eastAsia="仿宋_GB2312" w:cs="仿宋_GB2312"/>
        </w:rPr>
      </w:pPr>
      <w:bookmarkStart w:id="83" w:name="_Toc15396623"/>
      <w:bookmarkStart w:id="84" w:name="_Toc11293"/>
      <w:r>
        <w:rPr>
          <w:rFonts w:hint="eastAsia" w:ascii="仿宋_GB2312" w:hAnsi="仿宋_GB2312" w:eastAsia="仿宋_GB2312" w:cs="仿宋_GB2312"/>
          <w:b w:val="0"/>
        </w:rPr>
        <w:t>财</w:t>
      </w:r>
      <w:r>
        <w:rPr>
          <w:rStyle w:val="15"/>
          <w:rFonts w:hint="eastAsia" w:ascii="仿宋_GB2312" w:hAnsi="仿宋_GB2312" w:eastAsia="仿宋_GB2312" w:cs="仿宋_GB2312"/>
          <w:b w:val="0"/>
          <w:bCs w:val="0"/>
        </w:rPr>
        <w:t>政拨款支出决算明细表</w:t>
      </w:r>
      <w:bookmarkEnd w:id="83"/>
      <w:bookmarkEnd w:id="84"/>
      <w:bookmarkStart w:id="85" w:name="_Toc15396624"/>
    </w:p>
    <w:p>
      <w:pPr>
        <w:pStyle w:val="5"/>
        <w:numPr>
          <w:ilvl w:val="0"/>
          <w:numId w:val="6"/>
        </w:numPr>
        <w:spacing w:before="0" w:after="0" w:line="640" w:lineRule="exact"/>
        <w:rPr>
          <w:rFonts w:ascii="仿宋_GB2312" w:hAnsi="仿宋_GB2312" w:eastAsia="仿宋_GB2312" w:cs="仿宋_GB2312"/>
        </w:rPr>
      </w:pPr>
      <w:bookmarkStart w:id="86" w:name="_Toc1720"/>
      <w:r>
        <w:rPr>
          <w:rFonts w:hint="eastAsia" w:ascii="仿宋_GB2312" w:hAnsi="仿宋_GB2312" w:eastAsia="仿宋_GB2312" w:cs="仿宋_GB2312"/>
          <w:b w:val="0"/>
        </w:rPr>
        <w:t>一</w:t>
      </w:r>
      <w:r>
        <w:rPr>
          <w:rStyle w:val="15"/>
          <w:rFonts w:hint="eastAsia" w:ascii="仿宋_GB2312" w:hAnsi="仿宋_GB2312" w:eastAsia="仿宋_GB2312" w:cs="仿宋_GB2312"/>
          <w:b w:val="0"/>
          <w:bCs w:val="0"/>
        </w:rPr>
        <w:t>般公共预算财政拨款支出决算表</w:t>
      </w:r>
      <w:bookmarkEnd w:id="85"/>
      <w:bookmarkEnd w:id="86"/>
    </w:p>
    <w:p>
      <w:pPr>
        <w:pStyle w:val="5"/>
        <w:numPr>
          <w:ilvl w:val="0"/>
          <w:numId w:val="6"/>
        </w:numPr>
        <w:spacing w:before="0" w:after="0" w:line="640" w:lineRule="exact"/>
        <w:rPr>
          <w:rFonts w:ascii="仿宋_GB2312" w:hAnsi="仿宋_GB2312" w:eastAsia="仿宋_GB2312" w:cs="仿宋_GB2312"/>
        </w:rPr>
      </w:pPr>
      <w:bookmarkStart w:id="87" w:name="_Toc15396625"/>
      <w:bookmarkStart w:id="88" w:name="_Toc19921"/>
      <w:r>
        <w:rPr>
          <w:rFonts w:hint="eastAsia" w:ascii="仿宋_GB2312" w:hAnsi="仿宋_GB2312" w:eastAsia="仿宋_GB2312" w:cs="仿宋_GB2312"/>
          <w:b w:val="0"/>
        </w:rPr>
        <w:t>一</w:t>
      </w:r>
      <w:r>
        <w:rPr>
          <w:rStyle w:val="15"/>
          <w:rFonts w:hint="eastAsia" w:ascii="仿宋_GB2312" w:hAnsi="仿宋_GB2312" w:eastAsia="仿宋_GB2312" w:cs="仿宋_GB2312"/>
          <w:b w:val="0"/>
          <w:bCs w:val="0"/>
        </w:rPr>
        <w:t>般公共预算财政拨款支出决算明细表</w:t>
      </w:r>
      <w:bookmarkEnd w:id="87"/>
      <w:bookmarkEnd w:id="88"/>
    </w:p>
    <w:p>
      <w:pPr>
        <w:pStyle w:val="5"/>
        <w:numPr>
          <w:ilvl w:val="0"/>
          <w:numId w:val="6"/>
        </w:numPr>
        <w:spacing w:before="0" w:after="0" w:line="640" w:lineRule="exact"/>
        <w:rPr>
          <w:rFonts w:ascii="仿宋_GB2312" w:hAnsi="仿宋_GB2312" w:eastAsia="仿宋_GB2312" w:cs="仿宋_GB2312"/>
        </w:rPr>
      </w:pPr>
      <w:bookmarkStart w:id="89" w:name="_Toc15396626"/>
      <w:bookmarkStart w:id="90" w:name="_Toc19832"/>
      <w:r>
        <w:rPr>
          <w:rFonts w:hint="eastAsia" w:ascii="仿宋_GB2312" w:hAnsi="仿宋_GB2312" w:eastAsia="仿宋_GB2312" w:cs="仿宋_GB2312"/>
          <w:b w:val="0"/>
        </w:rPr>
        <w:t>一</w:t>
      </w:r>
      <w:r>
        <w:rPr>
          <w:rStyle w:val="15"/>
          <w:rFonts w:hint="eastAsia" w:ascii="仿宋_GB2312" w:hAnsi="仿宋_GB2312" w:eastAsia="仿宋_GB2312" w:cs="仿宋_GB2312"/>
          <w:b w:val="0"/>
          <w:bCs w:val="0"/>
        </w:rPr>
        <w:t>般公共预算财政拨款基本支出决算表</w:t>
      </w:r>
      <w:bookmarkEnd w:id="89"/>
      <w:bookmarkEnd w:id="90"/>
    </w:p>
    <w:p>
      <w:pPr>
        <w:pStyle w:val="5"/>
        <w:numPr>
          <w:ilvl w:val="0"/>
          <w:numId w:val="6"/>
        </w:numPr>
        <w:spacing w:before="0" w:after="0" w:line="640" w:lineRule="exact"/>
        <w:rPr>
          <w:rFonts w:ascii="仿宋_GB2312" w:hAnsi="仿宋_GB2312" w:eastAsia="仿宋_GB2312" w:cs="仿宋_GB2312"/>
        </w:rPr>
      </w:pPr>
      <w:bookmarkStart w:id="91" w:name="_Toc15396627"/>
      <w:bookmarkStart w:id="92" w:name="_Toc673"/>
      <w:r>
        <w:rPr>
          <w:rFonts w:hint="eastAsia" w:ascii="仿宋_GB2312" w:hAnsi="仿宋_GB2312" w:eastAsia="仿宋_GB2312" w:cs="仿宋_GB2312"/>
          <w:b w:val="0"/>
        </w:rPr>
        <w:t>一</w:t>
      </w:r>
      <w:r>
        <w:rPr>
          <w:rStyle w:val="15"/>
          <w:rFonts w:hint="eastAsia" w:ascii="仿宋_GB2312" w:hAnsi="仿宋_GB2312" w:eastAsia="仿宋_GB2312" w:cs="仿宋_GB2312"/>
          <w:b w:val="0"/>
          <w:bCs w:val="0"/>
        </w:rPr>
        <w:t>般公共预算财政拨款项目支出决算表</w:t>
      </w:r>
      <w:bookmarkEnd w:id="91"/>
      <w:bookmarkEnd w:id="92"/>
    </w:p>
    <w:p>
      <w:pPr>
        <w:pStyle w:val="5"/>
        <w:numPr>
          <w:ilvl w:val="0"/>
          <w:numId w:val="6"/>
        </w:numPr>
        <w:spacing w:before="0" w:after="0" w:line="640" w:lineRule="exact"/>
        <w:rPr>
          <w:rFonts w:ascii="仿宋_GB2312" w:hAnsi="仿宋_GB2312" w:eastAsia="仿宋_GB2312" w:cs="仿宋_GB2312"/>
        </w:rPr>
      </w:pPr>
      <w:bookmarkStart w:id="93" w:name="_Toc15396628"/>
      <w:bookmarkStart w:id="94" w:name="_Toc28149"/>
      <w:r>
        <w:rPr>
          <w:rFonts w:hint="eastAsia" w:ascii="仿宋_GB2312" w:hAnsi="仿宋_GB2312" w:eastAsia="仿宋_GB2312" w:cs="仿宋_GB2312"/>
          <w:b w:val="0"/>
        </w:rPr>
        <w:t>一</w:t>
      </w:r>
      <w:r>
        <w:rPr>
          <w:rStyle w:val="15"/>
          <w:rFonts w:hint="eastAsia" w:ascii="仿宋_GB2312" w:hAnsi="仿宋_GB2312" w:eastAsia="仿宋_GB2312" w:cs="仿宋_GB2312"/>
          <w:b w:val="0"/>
          <w:bCs w:val="0"/>
        </w:rPr>
        <w:t>般公共预算财政拨款“三公”经费支出决算表</w:t>
      </w:r>
      <w:bookmarkEnd w:id="93"/>
      <w:bookmarkEnd w:id="94"/>
    </w:p>
    <w:p>
      <w:pPr>
        <w:pStyle w:val="5"/>
        <w:spacing w:before="0" w:after="0" w:line="640" w:lineRule="exact"/>
        <w:rPr>
          <w:rFonts w:ascii="仿宋_GB2312" w:hAnsi="仿宋_GB2312" w:eastAsia="仿宋_GB2312" w:cs="仿宋_GB2312"/>
        </w:rPr>
      </w:pPr>
      <w:bookmarkStart w:id="95" w:name="_Toc22010"/>
      <w:bookmarkStart w:id="96" w:name="_Toc15396629"/>
      <w:r>
        <w:rPr>
          <w:rStyle w:val="15"/>
          <w:rFonts w:hint="eastAsia" w:ascii="仿宋_GB2312" w:hAnsi="仿宋_GB2312" w:eastAsia="仿宋_GB2312" w:cs="仿宋_GB2312"/>
          <w:b w:val="0"/>
          <w:bCs w:val="0"/>
          <w:u w:val="thick" w:color="FFB03A"/>
          <w:shd w:val="clear" w:color="auto" w:fill="FFEFD8"/>
        </w:rPr>
        <w:t>十一、</w:t>
      </w:r>
      <w:r>
        <w:rPr>
          <w:rFonts w:hint="eastAsia" w:ascii="仿宋_GB2312" w:hAnsi="仿宋_GB2312" w:eastAsia="仿宋_GB2312" w:cs="仿宋_GB2312"/>
          <w:b w:val="0"/>
        </w:rPr>
        <w:t>政</w:t>
      </w:r>
      <w:r>
        <w:rPr>
          <w:rStyle w:val="15"/>
          <w:rFonts w:hint="eastAsia" w:ascii="仿宋_GB2312" w:hAnsi="仿宋_GB2312" w:eastAsia="仿宋_GB2312" w:cs="仿宋_GB2312"/>
          <w:b w:val="0"/>
          <w:bCs w:val="0"/>
        </w:rPr>
        <w:t>府性基金预算财政拨款收入支出决算表</w:t>
      </w:r>
      <w:bookmarkEnd w:id="95"/>
      <w:bookmarkEnd w:id="96"/>
    </w:p>
    <w:p>
      <w:pPr>
        <w:pStyle w:val="5"/>
        <w:spacing w:before="0" w:after="0" w:line="640" w:lineRule="exact"/>
        <w:rPr>
          <w:rFonts w:ascii="仿宋_GB2312" w:hAnsi="仿宋_GB2312" w:eastAsia="仿宋_GB2312" w:cs="仿宋_GB2312"/>
        </w:rPr>
      </w:pPr>
      <w:bookmarkStart w:id="97" w:name="_Toc15396630"/>
      <w:bookmarkStart w:id="98" w:name="_Toc154"/>
      <w:r>
        <w:rPr>
          <w:rStyle w:val="15"/>
          <w:rFonts w:hint="eastAsia" w:ascii="仿宋_GB2312" w:hAnsi="仿宋_GB2312" w:eastAsia="仿宋_GB2312" w:cs="仿宋_GB2312"/>
          <w:b w:val="0"/>
          <w:bCs w:val="0"/>
        </w:rPr>
        <w:t>十二、</w:t>
      </w:r>
      <w:r>
        <w:rPr>
          <w:rFonts w:hint="eastAsia" w:ascii="仿宋_GB2312" w:hAnsi="仿宋_GB2312" w:eastAsia="仿宋_GB2312" w:cs="仿宋_GB2312"/>
          <w:b w:val="0"/>
        </w:rPr>
        <w:t>政</w:t>
      </w:r>
      <w:r>
        <w:rPr>
          <w:rStyle w:val="15"/>
          <w:rFonts w:hint="eastAsia" w:ascii="仿宋_GB2312" w:hAnsi="仿宋_GB2312" w:eastAsia="仿宋_GB2312" w:cs="仿宋_GB2312"/>
          <w:b w:val="0"/>
          <w:bCs w:val="0"/>
        </w:rPr>
        <w:t>府性基金预算财政拨款“三公”经费支出决算表</w:t>
      </w:r>
      <w:bookmarkEnd w:id="97"/>
      <w:bookmarkEnd w:id="98"/>
    </w:p>
    <w:p>
      <w:pPr>
        <w:pStyle w:val="5"/>
        <w:spacing w:before="0" w:after="0" w:line="640" w:lineRule="exact"/>
        <w:rPr>
          <w:rStyle w:val="15"/>
          <w:rFonts w:ascii="仿宋_GB2312" w:hAnsi="仿宋_GB2312" w:eastAsia="仿宋_GB2312" w:cs="仿宋_GB2312"/>
          <w:b w:val="0"/>
          <w:bCs w:val="0"/>
        </w:rPr>
      </w:pPr>
      <w:bookmarkStart w:id="99" w:name="_Toc30367"/>
      <w:bookmarkStart w:id="100" w:name="_Toc15396631"/>
      <w:r>
        <w:rPr>
          <w:rStyle w:val="15"/>
          <w:rFonts w:hint="eastAsia" w:ascii="仿宋_GB2312" w:hAnsi="仿宋_GB2312" w:eastAsia="仿宋_GB2312" w:cs="仿宋_GB2312"/>
          <w:b w:val="0"/>
          <w:bCs w:val="0"/>
        </w:rPr>
        <w:t>十三、</w:t>
      </w:r>
      <w:r>
        <w:rPr>
          <w:rFonts w:hint="eastAsia" w:ascii="仿宋_GB2312" w:hAnsi="仿宋_GB2312" w:eastAsia="仿宋_GB2312" w:cs="仿宋_GB2312"/>
          <w:b w:val="0"/>
        </w:rPr>
        <w:t>国</w:t>
      </w:r>
      <w:r>
        <w:rPr>
          <w:rStyle w:val="15"/>
          <w:rFonts w:hint="eastAsia" w:ascii="仿宋_GB2312" w:hAnsi="仿宋_GB2312" w:eastAsia="仿宋_GB2312" w:cs="仿宋_GB2312"/>
          <w:b w:val="0"/>
          <w:bCs w:val="0"/>
        </w:rPr>
        <w:t>有资本经营预算财政拨款收入支出决算表</w:t>
      </w:r>
      <w:bookmarkEnd w:id="99"/>
      <w:bookmarkEnd w:id="100"/>
    </w:p>
    <w:p>
      <w:pPr>
        <w:spacing w:line="640" w:lineRule="exact"/>
        <w:rPr>
          <w:rFonts w:ascii="仿宋_GB2312" w:hAnsi="仿宋_GB2312" w:eastAsia="仿宋_GB2312" w:cs="仿宋_GB2312"/>
          <w:sz w:val="32"/>
          <w:szCs w:val="32"/>
        </w:rPr>
      </w:pPr>
      <w:bookmarkStart w:id="101" w:name="_Toc6421"/>
      <w:r>
        <w:rPr>
          <w:rStyle w:val="15"/>
          <w:rFonts w:hint="eastAsia" w:ascii="仿宋_GB2312" w:hAnsi="仿宋_GB2312" w:eastAsia="仿宋_GB2312" w:cs="仿宋_GB2312"/>
          <w:b w:val="0"/>
          <w:bCs w:val="0"/>
        </w:rPr>
        <w:t>十四、国有资本经营预算财政拨款支出决算表</w:t>
      </w:r>
      <w:bookmarkEnd w:id="101"/>
    </w:p>
    <w:p>
      <w:pPr>
        <w:pStyle w:val="6"/>
        <w:spacing w:before="93"/>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A452E"/>
    <w:multiLevelType w:val="singleLevel"/>
    <w:tmpl w:val="A9AA452E"/>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E63CC808"/>
    <w:multiLevelType w:val="singleLevel"/>
    <w:tmpl w:val="E63CC808"/>
    <w:lvl w:ilvl="0" w:tentative="0">
      <w:start w:val="2"/>
      <w:numFmt w:val="chineseCounting"/>
      <w:suff w:val="nothing"/>
      <w:lvlText w:val="%1、"/>
      <w:lvlJc w:val="left"/>
      <w:rPr>
        <w:rFonts w:hint="eastAsia" w:ascii="宋体" w:hAnsi="宋体" w:eastAsia="宋体" w:cs="宋体"/>
        <w:b w:val="0"/>
        <w:bCs w:val="0"/>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B91E678"/>
    <w:multiLevelType w:val="singleLevel"/>
    <w:tmpl w:val="4B91E678"/>
    <w:lvl w:ilvl="0" w:tentative="0">
      <w:start w:val="3"/>
      <w:numFmt w:val="decimal"/>
      <w:lvlText w:val="%1."/>
      <w:lvlJc w:val="left"/>
      <w:pPr>
        <w:tabs>
          <w:tab w:val="left" w:pos="312"/>
        </w:tabs>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ODZiMTllNTVhZjllMjllODZjZTVmNTY0NmRiYjYifQ=="/>
  </w:docVars>
  <w:rsids>
    <w:rsidRoot w:val="613058FB"/>
    <w:rsid w:val="00250E94"/>
    <w:rsid w:val="0029377A"/>
    <w:rsid w:val="00BB45F3"/>
    <w:rsid w:val="0155655F"/>
    <w:rsid w:val="03771E7F"/>
    <w:rsid w:val="05180E3D"/>
    <w:rsid w:val="1B015280"/>
    <w:rsid w:val="1F7A024B"/>
    <w:rsid w:val="2B805008"/>
    <w:rsid w:val="2C59762C"/>
    <w:rsid w:val="362A5BB8"/>
    <w:rsid w:val="36723EFA"/>
    <w:rsid w:val="395B4E7C"/>
    <w:rsid w:val="3E173A67"/>
    <w:rsid w:val="4AA77F21"/>
    <w:rsid w:val="4BA055F0"/>
    <w:rsid w:val="513A6095"/>
    <w:rsid w:val="51510BE7"/>
    <w:rsid w:val="5DC34C1A"/>
    <w:rsid w:val="613058FB"/>
    <w:rsid w:val="65273CE0"/>
    <w:rsid w:val="68CA1553"/>
    <w:rsid w:val="69A804C9"/>
    <w:rsid w:val="6E82065C"/>
    <w:rsid w:val="7440091B"/>
    <w:rsid w:val="78C02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Body Text"/>
    <w:basedOn w:val="1"/>
    <w:qFormat/>
    <w:uiPriority w:val="99"/>
    <w:pPr>
      <w:spacing w:beforeLines="30"/>
    </w:pPr>
    <w:rPr>
      <w:rFonts w:ascii="仿宋_GB2312" w:eastAsia="仿宋_GB2312"/>
      <w:kern w:val="0"/>
      <w:sz w:val="30"/>
    </w:rPr>
  </w:style>
  <w:style w:type="paragraph" w:styleId="7">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customStyle="1" w:styleId="14">
    <w:name w:val="标题 1 字符"/>
    <w:basedOn w:val="12"/>
    <w:link w:val="4"/>
    <w:qFormat/>
    <w:uiPriority w:val="9"/>
    <w:rPr>
      <w:b/>
      <w:bCs/>
      <w:kern w:val="44"/>
      <w:sz w:val="44"/>
      <w:szCs w:val="44"/>
    </w:rPr>
  </w:style>
  <w:style w:type="character" w:customStyle="1" w:styleId="15">
    <w:name w:val="标题 2 字符"/>
    <w:basedOn w:val="12"/>
    <w:link w:val="5"/>
    <w:qFormat/>
    <w:uiPriority w:val="9"/>
    <w:rPr>
      <w:rFonts w:asciiTheme="majorHAnsi" w:hAnsiTheme="majorHAnsi" w:eastAsiaTheme="majorEastAsia" w:cstheme="majorBidi"/>
      <w:b/>
      <w:bCs/>
      <w:sz w:val="32"/>
      <w:szCs w:val="32"/>
    </w:rPr>
  </w:style>
  <w:style w:type="paragraph" w:customStyle="1" w:styleId="16">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17">
    <w:name w:val="一级标题"/>
    <w:basedOn w:val="16"/>
    <w:qFormat/>
    <w:uiPriority w:val="0"/>
    <w:pPr>
      <w:spacing w:line="560" w:lineRule="exact"/>
      <w:ind w:firstLine="640" w:firstLineChars="200"/>
    </w:pPr>
    <w:rPr>
      <w:rFonts w:ascii="黑体" w:hAnsi="黑体" w:eastAsia="黑体"/>
      <w:sz w:val="32"/>
      <w:szCs w:val="32"/>
    </w:rPr>
  </w:style>
  <w:style w:type="paragraph"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font51"/>
    <w:basedOn w:val="12"/>
    <w:qFormat/>
    <w:uiPriority w:val="0"/>
    <w:rPr>
      <w:rFonts w:hint="eastAsia" w:ascii="仿宋" w:hAnsi="仿宋" w:eastAsia="仿宋" w:cs="仿宋"/>
      <w:color w:val="000000"/>
      <w:sz w:val="12"/>
      <w:szCs w:val="12"/>
      <w:u w:val="none"/>
    </w:rPr>
  </w:style>
  <w:style w:type="character" w:customStyle="1" w:styleId="21">
    <w:name w:val="font61"/>
    <w:basedOn w:val="12"/>
    <w:qFormat/>
    <w:uiPriority w:val="0"/>
    <w:rPr>
      <w:rFonts w:hint="eastAsia" w:ascii="宋体" w:hAnsi="宋体" w:eastAsia="宋体" w:cs="宋体"/>
      <w:color w:val="000000"/>
      <w:sz w:val="18"/>
      <w:szCs w:val="18"/>
      <w:u w:val="none"/>
    </w:rPr>
  </w:style>
  <w:style w:type="character" w:customStyle="1" w:styleId="22">
    <w:name w:val="font81"/>
    <w:basedOn w:val="12"/>
    <w:qFormat/>
    <w:uiPriority w:val="0"/>
    <w:rPr>
      <w:rFonts w:hint="eastAsia" w:ascii="宋体" w:hAnsi="宋体" w:eastAsia="宋体" w:cs="宋体"/>
      <w:color w:val="000000"/>
      <w:sz w:val="12"/>
      <w:szCs w:val="12"/>
      <w:u w:val="none"/>
    </w:rPr>
  </w:style>
  <w:style w:type="character" w:customStyle="1" w:styleId="23">
    <w:name w:val="font41"/>
    <w:basedOn w:val="12"/>
    <w:qFormat/>
    <w:uiPriority w:val="0"/>
    <w:rPr>
      <w:rFonts w:hint="eastAsia" w:ascii="宋体" w:hAnsi="宋体" w:eastAsia="宋体" w:cs="宋体"/>
      <w:color w:val="000000"/>
      <w:sz w:val="32"/>
      <w:szCs w:val="32"/>
      <w:u w:val="none"/>
    </w:rPr>
  </w:style>
  <w:style w:type="paragraph" w:customStyle="1" w:styleId="24">
    <w:name w:val="WPSOffice手动目录 1"/>
    <w:uiPriority w:val="0"/>
    <w:rPr>
      <w:rFonts w:asciiTheme="minorHAnsi" w:hAnsiTheme="minorHAnsi" w:eastAsiaTheme="minorEastAsia" w:cstheme="minorBidi"/>
      <w:lang w:val="en-US" w:eastAsia="zh-CN" w:bidi="ar-SA"/>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t>收支决算总计变动情况图标</a:t>
            </a:r>
          </a:p>
        </c:rich>
      </c:tx>
      <c:layout/>
      <c:overlay val="0"/>
      <c:spPr>
        <a:noFill/>
        <a:ln>
          <a:noFill/>
        </a:ln>
        <a:effectLst/>
      </c:spPr>
    </c:title>
    <c:autoTitleDeleted val="0"/>
    <c:plotArea>
      <c:layout>
        <c:manualLayout>
          <c:layoutTarget val="inner"/>
          <c:xMode val="edge"/>
          <c:yMode val="edge"/>
          <c:x val="0.0559816218099468"/>
          <c:y val="0.247865112907836"/>
          <c:w val="0.911111111111111"/>
          <c:h val="0.654027777777778"/>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[工作簿1]Sheet1!$A$1:$A$4</c:f>
              <c:strCache>
                <c:ptCount val="4"/>
                <c:pt idx="0">
                  <c:v>2021年收入</c:v>
                </c:pt>
                <c:pt idx="1">
                  <c:v>2021年支出</c:v>
                </c:pt>
                <c:pt idx="2">
                  <c:v>2020年收入</c:v>
                </c:pt>
                <c:pt idx="3">
                  <c:v>2020年支出</c:v>
                </c:pt>
              </c:strCache>
            </c:strRef>
          </c:cat>
          <c:val>
            <c:numRef>
              <c:f>[工作簿1]Sheet1!$B$1:$B$4</c:f>
              <c:numCache>
                <c:formatCode>General</c:formatCode>
                <c:ptCount val="4"/>
              </c:numCache>
            </c:numRef>
          </c:val>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[工作簿1]Sheet1!$A$1:$A$4</c:f>
              <c:strCache>
                <c:ptCount val="4"/>
                <c:pt idx="0">
                  <c:v>2021年收入</c:v>
                </c:pt>
                <c:pt idx="1">
                  <c:v>2021年支出</c:v>
                </c:pt>
                <c:pt idx="2">
                  <c:v>2020年收入</c:v>
                </c:pt>
                <c:pt idx="3">
                  <c:v>2020年支出</c:v>
                </c:pt>
              </c:strCache>
            </c:strRef>
          </c:cat>
          <c:val>
            <c:numRef>
              <c:f>[工作簿1]Sheet1!$C$1:$C$4</c:f>
              <c:numCache>
                <c:formatCode>General</c:formatCode>
                <c:ptCount val="4"/>
                <c:pt idx="0">
                  <c:v>143.57</c:v>
                </c:pt>
                <c:pt idx="1">
                  <c:v>146.68</c:v>
                </c:pt>
                <c:pt idx="2">
                  <c:v>141.44</c:v>
                </c:pt>
                <c:pt idx="3">
                  <c:v>142.83</c:v>
                </c:pt>
              </c:numCache>
            </c:numRef>
          </c:val>
        </c:ser>
        <c:dLbls>
          <c:showLegendKey val="0"/>
          <c:showVal val="1"/>
          <c:showCatName val="0"/>
          <c:showSerName val="0"/>
          <c:showPercent val="0"/>
          <c:showBubbleSize val="0"/>
        </c:dLbls>
        <c:gapWidth val="65"/>
        <c:axId val="310692006"/>
        <c:axId val="333795451"/>
      </c:barChart>
      <c:catAx>
        <c:axId val="31069200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33795451"/>
        <c:crosses val="autoZero"/>
        <c:auto val="1"/>
        <c:lblAlgn val="ctr"/>
        <c:lblOffset val="100"/>
        <c:noMultiLvlLbl val="0"/>
      </c:catAx>
      <c:valAx>
        <c:axId val="33379545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31069200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b="1">
                <a:latin typeface="黑体" panose="02010609060101010101" charset="-122"/>
                <a:ea typeface="黑体" panose="02010609060101010101" charset="-122"/>
              </a:rPr>
              <a:t>收入决算结构图</a:t>
            </a:r>
            <a:endParaRPr b="1">
              <a:latin typeface="黑体" panose="02010609060101010101" charset="-122"/>
              <a:ea typeface="黑体" panose="02010609060101010101" charset="-122"/>
            </a:endParaRPr>
          </a:p>
        </c:rich>
      </c:tx>
      <c:layout>
        <c:manualLayout>
          <c:xMode val="edge"/>
          <c:yMode val="edge"/>
          <c:x val="0.328836797877045"/>
          <c:y val="0.00809498111171074"/>
        </c:manualLayout>
      </c:layout>
      <c:overlay val="0"/>
      <c:spPr>
        <a:noFill/>
        <a:ln>
          <a:noFill/>
        </a:ln>
        <a:effectLst/>
      </c:spPr>
    </c:title>
    <c:autoTitleDeleted val="0"/>
    <c:plotArea>
      <c:layout>
        <c:manualLayout>
          <c:layoutTarget val="inner"/>
          <c:xMode val="edge"/>
          <c:yMode val="edge"/>
          <c:x val="0.0810253767873245"/>
          <c:y val="0.17638036809816"/>
          <c:w val="0.830091459487312"/>
          <c:h val="0.668273444347064"/>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一般公共预算财政拨款收入</c:v>
                </c:pt>
                <c:pt idx="1">
                  <c:v>其他收入</c:v>
                </c:pt>
              </c:strCache>
            </c:strRef>
          </c:cat>
          <c:val>
            <c:numRef>
              <c:f>[工作簿1]Sheet1!$B$2:$B$3</c:f>
              <c:numCache>
                <c:formatCode>General</c:formatCode>
                <c:ptCount val="2"/>
                <c:pt idx="0">
                  <c:v>142.62</c:v>
                </c:pt>
                <c:pt idx="1">
                  <c:v>0.96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b="1">
                <a:latin typeface="黑体" panose="02010609060101010101" charset="-122"/>
                <a:ea typeface="黑体" panose="02010609060101010101" charset="-122"/>
              </a:rPr>
              <a:t>支出决算结构图</a:t>
            </a:r>
            <a:endParaRPr b="1">
              <a:latin typeface="黑体" panose="02010609060101010101" charset="-122"/>
              <a:ea typeface="黑体" panose="02010609060101010101" charset="-122"/>
            </a:endParaRPr>
          </a:p>
        </c:rich>
      </c:tx>
      <c:layout/>
      <c:overlay val="0"/>
      <c:spPr>
        <a:noFill/>
        <a:ln>
          <a:noFill/>
        </a:ln>
        <a:effectLst/>
      </c:spPr>
    </c:title>
    <c:autoTitleDeleted val="0"/>
    <c:plotArea>
      <c:layout>
        <c:manualLayout>
          <c:layoutTarget val="inner"/>
          <c:xMode val="edge"/>
          <c:yMode val="edge"/>
          <c:x val="0.0809621993127148"/>
          <c:y val="0.17632058287796"/>
          <c:w val="0.786941580756014"/>
          <c:h val="0.668306010928962"/>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基本支出</c:v>
                </c:pt>
                <c:pt idx="1">
                  <c:v>项目支出</c:v>
                </c:pt>
              </c:strCache>
            </c:strRef>
          </c:cat>
          <c:val>
            <c:numRef>
              <c:f>[工作簿1]Sheet1!$B$2:$B$3</c:f>
              <c:numCache>
                <c:formatCode>General</c:formatCode>
                <c:ptCount val="2"/>
                <c:pt idx="0">
                  <c:v>115.08</c:v>
                </c:pt>
                <c:pt idx="1">
                  <c:v>31.6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财政拨款收、支决算总计变动情况</a:t>
            </a:r>
          </a:p>
        </c:rich>
      </c:tx>
      <c:layout>
        <c:manualLayout>
          <c:xMode val="edge"/>
          <c:yMode val="edge"/>
          <c:x val="0.198713927227102"/>
          <c:y val="0.0232603217677845"/>
        </c:manualLayout>
      </c:layout>
      <c:overlay val="0"/>
      <c:spPr>
        <a:noFill/>
        <a:ln>
          <a:noFill/>
        </a:ln>
        <a:effectLst/>
      </c:spPr>
    </c:title>
    <c:autoTitleDeleted val="0"/>
    <c:plotArea>
      <c:layout/>
      <c:barChart>
        <c:barDir val="col"/>
        <c:grouping val="clustered"/>
        <c:varyColors val="0"/>
        <c:ser>
          <c:idx val="0"/>
          <c:order val="0"/>
          <c:spPr>
            <a:gradFill>
              <a:gsLst>
                <a:gs pos="0">
                  <a:srgbClr val="EE5596"/>
                </a:gs>
                <a:gs pos="100000">
                  <a:srgbClr val="F9B621"/>
                </a:gs>
              </a:gsLst>
              <a:lin ang="5400000" scaled="0"/>
            </a:gradFill>
            <a:ln>
              <a:noFill/>
            </a:ln>
            <a:effectLst/>
          </c:spPr>
          <c:invertIfNegative val="0"/>
          <c:dLbls>
            <c:delete val="1"/>
          </c:dLbls>
          <c:cat>
            <c:strRef>
              <c:f>[工作簿1]Sheet1!$A$2:$A$5</c:f>
              <c:strCache>
                <c:ptCount val="4"/>
                <c:pt idx="0">
                  <c:v>2021年财政拨款收入</c:v>
                </c:pt>
                <c:pt idx="1">
                  <c:v>2021年财政拨款支出</c:v>
                </c:pt>
                <c:pt idx="2">
                  <c:v>2020年财政拨款收入</c:v>
                </c:pt>
                <c:pt idx="3">
                  <c:v>2020年财政拨款支出</c:v>
                </c:pt>
              </c:strCache>
            </c:strRef>
          </c:cat>
          <c:val>
            <c:numRef>
              <c:f>[工作簿1]Sheet1!$B$2:$B$5</c:f>
              <c:numCache>
                <c:formatCode>General</c:formatCode>
                <c:ptCount val="4"/>
                <c:pt idx="0">
                  <c:v>142.62</c:v>
                </c:pt>
                <c:pt idx="1">
                  <c:v>145.72</c:v>
                </c:pt>
                <c:pt idx="2">
                  <c:v>135.67</c:v>
                </c:pt>
                <c:pt idx="3">
                  <c:v>140.17</c:v>
                </c:pt>
              </c:numCache>
            </c:numRef>
          </c:val>
        </c:ser>
        <c:dLbls>
          <c:showLegendKey val="0"/>
          <c:showVal val="0"/>
          <c:showCatName val="0"/>
          <c:showSerName val="0"/>
          <c:showPercent val="0"/>
          <c:showBubbleSize val="0"/>
        </c:dLbls>
        <c:gapWidth val="150"/>
        <c:axId val="675061101"/>
        <c:axId val="112078043"/>
      </c:barChart>
      <c:catAx>
        <c:axId val="67506110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112078043"/>
        <c:crosses val="autoZero"/>
        <c:auto val="1"/>
        <c:lblAlgn val="ctr"/>
        <c:lblOffset val="100"/>
        <c:noMultiLvlLbl val="0"/>
      </c:catAx>
      <c:valAx>
        <c:axId val="112078043"/>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67506110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t>一般公共预算财政拨款支出变动情况</a:t>
            </a:r>
            <a:endParaRPr sz="1200" b="1"/>
          </a:p>
        </c:rich>
      </c:tx>
      <c:layout>
        <c:manualLayout>
          <c:xMode val="edge"/>
          <c:yMode val="edge"/>
          <c:x val="0.177827619352772"/>
          <c:y val="0.022813688212927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2021年一般公共预算财政拨款支出</c:v>
                </c:pt>
                <c:pt idx="1">
                  <c:v>2020年一般公共预算财政拨款支出</c:v>
                </c:pt>
              </c:strCache>
            </c:strRef>
          </c:cat>
          <c:val>
            <c:numRef>
              <c:f>[工作簿1]Sheet1!$B$2:$B$3</c:f>
              <c:numCache>
                <c:formatCode>General</c:formatCode>
                <c:ptCount val="2"/>
                <c:pt idx="0">
                  <c:v>145.72</c:v>
                </c:pt>
                <c:pt idx="1">
                  <c:v>140.17</c:v>
                </c:pt>
              </c:numCache>
            </c:numRef>
          </c:val>
        </c:ser>
        <c:dLbls>
          <c:showLegendKey val="0"/>
          <c:showVal val="1"/>
          <c:showCatName val="0"/>
          <c:showSerName val="0"/>
          <c:showPercent val="0"/>
          <c:showBubbleSize val="0"/>
        </c:dLbls>
        <c:gapWidth val="150"/>
        <c:overlap val="-25"/>
        <c:axId val="471677524"/>
        <c:axId val="608287393"/>
      </c:barChart>
      <c:catAx>
        <c:axId val="4716775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287393"/>
        <c:crosses val="autoZero"/>
        <c:auto val="1"/>
        <c:lblAlgn val="ctr"/>
        <c:lblOffset val="100"/>
        <c:noMultiLvlLbl val="0"/>
      </c:catAx>
      <c:valAx>
        <c:axId val="608287393"/>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167752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t>一般公共预算财政拨款支出决算结构</a:t>
            </a:r>
            <a:endParaRPr sz="1200" b="1"/>
          </a:p>
        </c:rich>
      </c:tx>
      <c:layout>
        <c:manualLayout>
          <c:xMode val="edge"/>
          <c:yMode val="edge"/>
          <c:x val="0.116813132150555"/>
          <c:y val="0.026819923371647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[工作簿1]Sheet1!$A$2:$A$5</c:f>
              <c:strCache>
                <c:ptCount val="4"/>
                <c:pt idx="0">
                  <c:v>农林水类支出</c:v>
                </c:pt>
                <c:pt idx="1">
                  <c:v>社会保障就业类支出</c:v>
                </c:pt>
                <c:pt idx="2">
                  <c:v>卫生健康类支出</c:v>
                </c:pt>
                <c:pt idx="3">
                  <c:v>住房保障类支出</c:v>
                </c:pt>
              </c:strCache>
            </c:strRef>
          </c:cat>
          <c:val>
            <c:numRef>
              <c:f>[工作簿1]Sheet1!$B$2:$B$5</c:f>
              <c:numCache>
                <c:formatCode>General</c:formatCode>
                <c:ptCount val="4"/>
                <c:pt idx="0">
                  <c:v>118.39</c:v>
                </c:pt>
                <c:pt idx="1">
                  <c:v>15.07</c:v>
                </c:pt>
                <c:pt idx="2">
                  <c:v>5.63</c:v>
                </c:pt>
                <c:pt idx="3">
                  <c:v>6.64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1790</Words>
  <Characters>10204</Characters>
  <Lines>85</Lines>
  <Paragraphs>23</Paragraphs>
  <TotalTime>36</TotalTime>
  <ScaleCrop>false</ScaleCrop>
  <LinksUpToDate>false</LinksUpToDate>
  <CharactersWithSpaces>11971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2022-09-06T04:59:00Z</dcterms:created>
  <dc:creator>春暖花开</dc:creator>
  <cp:lastModifiedBy>张良</cp:lastModifiedBy>
  <dcterms:modified xsi:type="dcterms:W3CDTF">2023-08-12T03:37:10Z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002284C97E9C4A5CA4C65BE5630CB935</vt:lpwstr>
  </property>
</Properties>
</file>