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72"/>
          <w:szCs w:val="72"/>
        </w:rPr>
      </w:pPr>
      <w:bookmarkStart w:id="0" w:name="_Toc15306267"/>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52"/>
          <w:szCs w:val="52"/>
        </w:rPr>
      </w:pPr>
      <w:bookmarkStart w:id="1" w:name="_Toc15378441"/>
      <w:bookmarkStart w:id="2" w:name="_Toc15377193"/>
      <w:bookmarkStart w:id="3" w:name="_Toc18222"/>
      <w:bookmarkStart w:id="4" w:name="_Toc15377425"/>
      <w:bookmarkStart w:id="5" w:name="_Toc15396597"/>
      <w:bookmarkStart w:id="6" w:name="_Toc15396475"/>
      <w:r>
        <w:rPr>
          <w:rFonts w:hint="eastAsia" w:ascii="方正小标宋简体" w:hAnsi="方正小标宋简体" w:eastAsia="方正小标宋简体" w:cs="方正小标宋简体"/>
          <w:sz w:val="52"/>
          <w:szCs w:val="52"/>
        </w:rPr>
        <w:t>2021年度</w:t>
      </w:r>
      <w:bookmarkEnd w:id="1"/>
      <w:bookmarkEnd w:id="2"/>
      <w:bookmarkEnd w:id="3"/>
      <w:bookmarkEnd w:id="4"/>
      <w:bookmarkEnd w:id="5"/>
      <w:bookmarkEnd w:id="6"/>
    </w:p>
    <w:p>
      <w:pPr>
        <w:adjustRightInd w:val="0"/>
        <w:snapToGrid w:val="0"/>
        <w:spacing w:line="360" w:lineRule="auto"/>
        <w:jc w:val="center"/>
        <w:outlineLvl w:val="0"/>
        <w:rPr>
          <w:rFonts w:ascii="方正小标宋简体" w:hAnsi="方正小标宋简体" w:eastAsia="方正小标宋简体" w:cs="方正小标宋简体"/>
          <w:sz w:val="52"/>
          <w:szCs w:val="52"/>
        </w:rPr>
      </w:pPr>
      <w:bookmarkStart w:id="7" w:name="_Toc15965"/>
      <w:bookmarkStart w:id="8" w:name="_Toc15377194"/>
      <w:bookmarkStart w:id="9" w:name="_Toc15377426"/>
      <w:bookmarkStart w:id="10" w:name="_Toc15378442"/>
      <w:bookmarkStart w:id="11" w:name="_Toc15396476"/>
      <w:bookmarkStart w:id="12" w:name="_Toc15396598"/>
      <w:r>
        <w:rPr>
          <w:rFonts w:hint="eastAsia" w:ascii="方正小标宋简体" w:hAnsi="方正小标宋简体" w:eastAsia="方正小标宋简体" w:cs="方正小标宋简体"/>
          <w:sz w:val="52"/>
          <w:szCs w:val="52"/>
        </w:rPr>
        <w:t>四川省</w:t>
      </w:r>
      <w:bookmarkEnd w:id="0"/>
      <w:bookmarkStart w:id="13" w:name="_Toc15306268"/>
      <w:r>
        <w:rPr>
          <w:rFonts w:hint="eastAsia" w:ascii="方正小标宋简体" w:hAnsi="方正小标宋简体" w:eastAsia="方正小标宋简体" w:cs="方正小标宋简体"/>
          <w:sz w:val="52"/>
          <w:szCs w:val="52"/>
        </w:rPr>
        <w:t>通江县长坪镇新文小学</w:t>
      </w:r>
      <w:bookmarkEnd w:id="7"/>
    </w:p>
    <w:p>
      <w:pPr>
        <w:adjustRightInd w:val="0"/>
        <w:snapToGrid w:val="0"/>
        <w:spacing w:line="360" w:lineRule="auto"/>
        <w:jc w:val="center"/>
        <w:outlineLvl w:val="0"/>
        <w:rPr>
          <w:rFonts w:ascii="方正小标宋简体" w:hAnsi="宋体" w:eastAsia="方正小标宋简体"/>
          <w:sz w:val="52"/>
          <w:szCs w:val="52"/>
        </w:rPr>
      </w:pPr>
      <w:bookmarkStart w:id="14" w:name="_Toc972"/>
      <w:r>
        <w:rPr>
          <w:rFonts w:hint="eastAsia" w:ascii="方正小标宋简体" w:hAnsi="方正小标宋简体" w:eastAsia="方正小标宋简体" w:cs="方正小标宋简体"/>
          <w:sz w:val="52"/>
          <w:szCs w:val="52"/>
        </w:rPr>
        <w:t>单位决算</w:t>
      </w:r>
      <w:bookmarkEnd w:id="8"/>
      <w:bookmarkEnd w:id="9"/>
      <w:bookmarkEnd w:id="10"/>
      <w:bookmarkEnd w:id="11"/>
      <w:bookmarkEnd w:id="12"/>
      <w:bookmarkEnd w:id="13"/>
      <w:bookmarkEnd w:id="14"/>
    </w:p>
    <w:p>
      <w:pPr>
        <w:widowControl/>
        <w:jc w:val="center"/>
        <w:rPr>
          <w:rFonts w:ascii="黑体" w:hAnsi="黑体" w:eastAsia="黑体"/>
          <w:sz w:val="48"/>
          <w:szCs w:val="48"/>
        </w:rPr>
      </w:pPr>
      <w:r>
        <w:br w:type="page"/>
      </w:r>
      <w:r>
        <w:rPr>
          <w:rFonts w:hint="eastAsia" w:ascii="黑体" w:hAnsi="黑体" w:eastAsia="黑体"/>
          <w:sz w:val="48"/>
          <w:szCs w:val="48"/>
        </w:rPr>
        <w:t>目录</w:t>
      </w:r>
    </w:p>
    <w:p>
      <w:pPr>
        <w:pStyle w:val="19"/>
      </w:pPr>
      <w:r>
        <w:rPr>
          <w:rFonts w:hint="eastAsia"/>
        </w:rPr>
        <w:t>公开时间：2022年8月25日</w:t>
      </w:r>
    </w:p>
    <w:p/>
    <w:sdt>
      <w:sdtPr>
        <w:rPr>
          <w:rFonts w:ascii="宋体" w:hAnsi="宋体"/>
        </w:rPr>
        <w:id w:val="147457698"/>
        <w:docPartObj>
          <w:docPartGallery w:val="Table of Contents"/>
          <w:docPartUnique/>
        </w:docPartObj>
      </w:sdtPr>
      <w:sdtEndPr>
        <w:rPr>
          <w:rFonts w:ascii="宋体" w:hAnsi="宋体"/>
          <w:b/>
        </w:rPr>
      </w:sdtEndPr>
      <w:sdtContent>
        <w:p>
          <w:pPr>
            <w:jc w:val="center"/>
          </w:pPr>
          <w:bookmarkStart w:id="15" w:name="_Toc15377196"/>
        </w:p>
        <w:p>
          <w:pPr>
            <w:pStyle w:val="41"/>
            <w:tabs>
              <w:tab w:val="right" w:leader="dot" w:pos="8306"/>
            </w:tabs>
            <w:rPr>
              <w:b/>
            </w:rPr>
          </w:pPr>
          <w:r>
            <w:fldChar w:fldCharType="begin"/>
          </w:r>
          <w:r>
            <w:instrText xml:space="preserve">TOC \o "1-2" \h \u</w:instrText>
          </w:r>
          <w:r>
            <w:fldChar w:fldCharType="separate"/>
          </w:r>
          <w:r>
            <w:fldChar w:fldCharType="begin"/>
          </w:r>
          <w:r>
            <w:instrText xml:space="preserve"> HYPERLINK \l "_Toc28277" </w:instrText>
          </w:r>
          <w:r>
            <w:fldChar w:fldCharType="separate"/>
          </w:r>
          <w:r>
            <w:rPr>
              <w:rFonts w:hint="eastAsia" w:ascii="黑体" w:hAnsi="黑体" w:eastAsia="黑体"/>
              <w:b/>
            </w:rPr>
            <w:t>第一部分单位概况</w:t>
          </w:r>
          <w:r>
            <w:rPr>
              <w:b/>
            </w:rPr>
            <w:tab/>
          </w:r>
          <w:r>
            <w:rPr>
              <w:b/>
            </w:rPr>
            <w:fldChar w:fldCharType="begin"/>
          </w:r>
          <w:r>
            <w:rPr>
              <w:b/>
            </w:rPr>
            <w:instrText xml:space="preserve"> PAGEREF _Toc28277 </w:instrText>
          </w:r>
          <w:r>
            <w:rPr>
              <w:b/>
            </w:rPr>
            <w:fldChar w:fldCharType="separate"/>
          </w:r>
          <w:r>
            <w:rPr>
              <w:b/>
            </w:rPr>
            <w:t>3</w:t>
          </w:r>
          <w:r>
            <w:rPr>
              <w:b/>
            </w:rPr>
            <w:fldChar w:fldCharType="end"/>
          </w:r>
          <w:r>
            <w:rPr>
              <w:b/>
            </w:rPr>
            <w:fldChar w:fldCharType="end"/>
          </w:r>
        </w:p>
        <w:p>
          <w:pPr>
            <w:pStyle w:val="42"/>
            <w:tabs>
              <w:tab w:val="right" w:leader="dot" w:pos="8306"/>
            </w:tabs>
            <w:ind w:left="420"/>
          </w:pPr>
          <w:r>
            <w:fldChar w:fldCharType="begin"/>
          </w:r>
          <w:r>
            <w:instrText xml:space="preserve"> HYPERLINK \l "_Toc2506" </w:instrText>
          </w:r>
          <w:r>
            <w:fldChar w:fldCharType="separate"/>
          </w:r>
          <w:r>
            <w:rPr>
              <w:rFonts w:hint="eastAsia" w:ascii="黑体" w:hAnsi="黑体" w:eastAsia="黑体"/>
            </w:rPr>
            <w:t>一、职能简介</w:t>
          </w:r>
          <w:r>
            <w:tab/>
          </w:r>
          <w:r>
            <w:fldChar w:fldCharType="begin"/>
          </w:r>
          <w:r>
            <w:instrText xml:space="preserve"> PAGEREF _Toc2506 </w:instrText>
          </w:r>
          <w:r>
            <w:fldChar w:fldCharType="separate"/>
          </w:r>
          <w:r>
            <w:t>3</w:t>
          </w:r>
          <w:r>
            <w:fldChar w:fldCharType="end"/>
          </w:r>
          <w:r>
            <w:fldChar w:fldCharType="end"/>
          </w:r>
        </w:p>
        <w:p>
          <w:pPr>
            <w:pStyle w:val="42"/>
            <w:tabs>
              <w:tab w:val="right" w:leader="dot" w:pos="8306"/>
            </w:tabs>
            <w:ind w:left="420"/>
          </w:pPr>
          <w:r>
            <w:fldChar w:fldCharType="begin"/>
          </w:r>
          <w:r>
            <w:instrText xml:space="preserve"> HYPERLINK \l "_Toc16715" </w:instrText>
          </w:r>
          <w:r>
            <w:fldChar w:fldCharType="separate"/>
          </w:r>
          <w:r>
            <w:rPr>
              <w:rFonts w:hint="eastAsia" w:ascii="黑体" w:hAnsi="黑体" w:eastAsia="黑体"/>
            </w:rPr>
            <w:t>二、2021年重点工作完成情况</w:t>
          </w:r>
          <w:r>
            <w:tab/>
          </w:r>
          <w:r>
            <w:fldChar w:fldCharType="begin"/>
          </w:r>
          <w:r>
            <w:instrText xml:space="preserve"> PAGEREF _Toc16715 </w:instrText>
          </w:r>
          <w:r>
            <w:fldChar w:fldCharType="separate"/>
          </w:r>
          <w:r>
            <w:t>3</w:t>
          </w:r>
          <w:r>
            <w:fldChar w:fldCharType="end"/>
          </w:r>
          <w:r>
            <w:fldChar w:fldCharType="end"/>
          </w:r>
        </w:p>
        <w:p>
          <w:pPr>
            <w:pStyle w:val="41"/>
            <w:tabs>
              <w:tab w:val="right" w:leader="dot" w:pos="8306"/>
            </w:tabs>
            <w:rPr>
              <w:b/>
            </w:rPr>
          </w:pPr>
          <w:r>
            <w:fldChar w:fldCharType="begin"/>
          </w:r>
          <w:r>
            <w:instrText xml:space="preserve"> HYPERLINK \l "_Toc27643" </w:instrText>
          </w:r>
          <w:r>
            <w:fldChar w:fldCharType="separate"/>
          </w:r>
          <w:r>
            <w:rPr>
              <w:rFonts w:hint="eastAsia" w:ascii="黑体" w:hAnsi="黑体" w:eastAsia="黑体"/>
              <w:b/>
            </w:rPr>
            <w:t>第二部分 2021年度</w:t>
          </w:r>
          <w:r>
            <w:rPr>
              <w:rFonts w:hint="eastAsia" w:ascii="黑体" w:hAnsi="黑体" w:eastAsia="黑体"/>
              <w:b/>
              <w:bCs/>
            </w:rPr>
            <w:t>单位决算情况说明</w:t>
          </w:r>
          <w:r>
            <w:rPr>
              <w:b/>
            </w:rPr>
            <w:tab/>
          </w:r>
          <w:r>
            <w:rPr>
              <w:b/>
            </w:rPr>
            <w:fldChar w:fldCharType="begin"/>
          </w:r>
          <w:r>
            <w:rPr>
              <w:b/>
            </w:rPr>
            <w:instrText xml:space="preserve"> PAGEREF _Toc27643 </w:instrText>
          </w:r>
          <w:r>
            <w:rPr>
              <w:b/>
            </w:rPr>
            <w:fldChar w:fldCharType="separate"/>
          </w:r>
          <w:r>
            <w:rPr>
              <w:b/>
            </w:rPr>
            <w:t>4</w:t>
          </w:r>
          <w:r>
            <w:rPr>
              <w:b/>
            </w:rPr>
            <w:fldChar w:fldCharType="end"/>
          </w:r>
          <w:r>
            <w:rPr>
              <w:b/>
            </w:rPr>
            <w:fldChar w:fldCharType="end"/>
          </w:r>
        </w:p>
        <w:p>
          <w:pPr>
            <w:pStyle w:val="42"/>
            <w:tabs>
              <w:tab w:val="right" w:leader="dot" w:pos="8306"/>
            </w:tabs>
            <w:ind w:left="420"/>
          </w:pPr>
          <w:r>
            <w:fldChar w:fldCharType="begin"/>
          </w:r>
          <w:r>
            <w:instrText xml:space="preserve"> HYPERLINK \l "_Toc28487" </w:instrText>
          </w:r>
          <w:r>
            <w:fldChar w:fldCharType="separate"/>
          </w:r>
          <w:r>
            <w:rPr>
              <w:rFonts w:ascii="黑体" w:hAnsi="黑体" w:eastAsia="黑体"/>
            </w:rPr>
            <w:t>一、</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_Toc28487 </w:instrText>
          </w:r>
          <w:r>
            <w:fldChar w:fldCharType="separate"/>
          </w:r>
          <w:r>
            <w:t>4</w:t>
          </w:r>
          <w:r>
            <w:fldChar w:fldCharType="end"/>
          </w:r>
          <w:r>
            <w:fldChar w:fldCharType="end"/>
          </w:r>
        </w:p>
        <w:p>
          <w:pPr>
            <w:pStyle w:val="42"/>
            <w:tabs>
              <w:tab w:val="right" w:leader="dot" w:pos="8306"/>
            </w:tabs>
            <w:ind w:left="420"/>
          </w:pPr>
          <w:r>
            <w:fldChar w:fldCharType="begin"/>
          </w:r>
          <w:r>
            <w:instrText xml:space="preserve"> HYPERLINK \l "_Toc13947" </w:instrText>
          </w:r>
          <w:r>
            <w:fldChar w:fldCharType="separate"/>
          </w:r>
          <w:r>
            <w:rPr>
              <w:rFonts w:ascii="黑体" w:hAnsi="黑体" w:eastAsia="黑体"/>
            </w:rPr>
            <w:t>二、</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_Toc13947 </w:instrText>
          </w:r>
          <w:r>
            <w:fldChar w:fldCharType="separate"/>
          </w:r>
          <w:r>
            <w:t>4</w:t>
          </w:r>
          <w:r>
            <w:fldChar w:fldCharType="end"/>
          </w:r>
          <w:r>
            <w:fldChar w:fldCharType="end"/>
          </w:r>
        </w:p>
        <w:p>
          <w:pPr>
            <w:pStyle w:val="42"/>
            <w:tabs>
              <w:tab w:val="right" w:leader="dot" w:pos="8306"/>
            </w:tabs>
            <w:ind w:left="420"/>
          </w:pPr>
          <w:r>
            <w:fldChar w:fldCharType="begin"/>
          </w:r>
          <w:r>
            <w:instrText xml:space="preserve"> HYPERLINK \l "_Toc28327" </w:instrText>
          </w:r>
          <w:r>
            <w:fldChar w:fldCharType="separate"/>
          </w:r>
          <w:r>
            <w:rPr>
              <w:rFonts w:ascii="黑体" w:hAnsi="黑体" w:eastAsia="黑体"/>
            </w:rPr>
            <w:t>三、</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_Toc28327 </w:instrText>
          </w:r>
          <w:r>
            <w:fldChar w:fldCharType="separate"/>
          </w:r>
          <w:r>
            <w:t>5</w:t>
          </w:r>
          <w:r>
            <w:fldChar w:fldCharType="end"/>
          </w:r>
          <w:r>
            <w:fldChar w:fldCharType="end"/>
          </w:r>
        </w:p>
        <w:p>
          <w:pPr>
            <w:pStyle w:val="42"/>
            <w:tabs>
              <w:tab w:val="right" w:leader="dot" w:pos="8306"/>
            </w:tabs>
            <w:ind w:left="420"/>
          </w:pPr>
          <w:r>
            <w:fldChar w:fldCharType="begin"/>
          </w:r>
          <w:r>
            <w:instrText xml:space="preserve"> HYPERLINK \l "_Toc16302"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_Toc16302 </w:instrText>
          </w:r>
          <w:r>
            <w:fldChar w:fldCharType="separate"/>
          </w:r>
          <w:r>
            <w:t>5</w:t>
          </w:r>
          <w:r>
            <w:fldChar w:fldCharType="end"/>
          </w:r>
          <w:r>
            <w:fldChar w:fldCharType="end"/>
          </w:r>
        </w:p>
        <w:p>
          <w:pPr>
            <w:pStyle w:val="42"/>
            <w:tabs>
              <w:tab w:val="right" w:leader="dot" w:pos="8306"/>
            </w:tabs>
            <w:ind w:left="420"/>
          </w:pPr>
          <w:r>
            <w:fldChar w:fldCharType="begin"/>
          </w:r>
          <w:r>
            <w:instrText xml:space="preserve"> HYPERLINK \l "_Toc10769"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_Toc10769 </w:instrText>
          </w:r>
          <w:r>
            <w:fldChar w:fldCharType="separate"/>
          </w:r>
          <w:r>
            <w:t>6</w:t>
          </w:r>
          <w:r>
            <w:fldChar w:fldCharType="end"/>
          </w:r>
          <w:r>
            <w:fldChar w:fldCharType="end"/>
          </w:r>
        </w:p>
        <w:p>
          <w:pPr>
            <w:pStyle w:val="42"/>
            <w:tabs>
              <w:tab w:val="right" w:leader="dot" w:pos="8306"/>
            </w:tabs>
            <w:ind w:left="420"/>
          </w:pPr>
          <w:r>
            <w:fldChar w:fldCharType="begin"/>
          </w:r>
          <w:r>
            <w:instrText xml:space="preserve"> HYPERLINK \l "_Toc8402"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_Toc8402 </w:instrText>
          </w:r>
          <w:r>
            <w:fldChar w:fldCharType="separate"/>
          </w:r>
          <w:r>
            <w:t>8</w:t>
          </w:r>
          <w:r>
            <w:fldChar w:fldCharType="end"/>
          </w:r>
          <w:r>
            <w:fldChar w:fldCharType="end"/>
          </w:r>
        </w:p>
        <w:p>
          <w:pPr>
            <w:pStyle w:val="42"/>
            <w:tabs>
              <w:tab w:val="right" w:leader="dot" w:pos="8306"/>
            </w:tabs>
            <w:ind w:left="420"/>
          </w:pPr>
          <w:r>
            <w:fldChar w:fldCharType="begin"/>
          </w:r>
          <w:r>
            <w:instrText xml:space="preserve"> HYPERLINK \l "_Toc22463" </w:instrText>
          </w:r>
          <w: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_Toc22463 </w:instrText>
          </w:r>
          <w:r>
            <w:fldChar w:fldCharType="separate"/>
          </w:r>
          <w:r>
            <w:t>9</w:t>
          </w:r>
          <w:r>
            <w:fldChar w:fldCharType="end"/>
          </w:r>
          <w:r>
            <w:fldChar w:fldCharType="end"/>
          </w:r>
        </w:p>
        <w:p>
          <w:pPr>
            <w:pStyle w:val="42"/>
            <w:tabs>
              <w:tab w:val="right" w:leader="dot" w:pos="8306"/>
            </w:tabs>
            <w:ind w:left="420"/>
          </w:pPr>
          <w:r>
            <w:fldChar w:fldCharType="begin"/>
          </w:r>
          <w:r>
            <w:instrText xml:space="preserve"> HYPERLINK \l "_Toc27286"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_Toc27286 </w:instrText>
          </w:r>
          <w:r>
            <w:fldChar w:fldCharType="separate"/>
          </w:r>
          <w:r>
            <w:t>10</w:t>
          </w:r>
          <w:r>
            <w:fldChar w:fldCharType="end"/>
          </w:r>
          <w:r>
            <w:fldChar w:fldCharType="end"/>
          </w:r>
        </w:p>
        <w:p>
          <w:pPr>
            <w:pStyle w:val="42"/>
            <w:tabs>
              <w:tab w:val="right" w:leader="dot" w:pos="8306"/>
            </w:tabs>
            <w:ind w:left="420"/>
          </w:pPr>
          <w:r>
            <w:fldChar w:fldCharType="begin"/>
          </w:r>
          <w:r>
            <w:instrText xml:space="preserve"> HYPERLINK \l "_Toc12199" </w:instrText>
          </w:r>
          <w:r>
            <w:fldChar w:fldCharType="separate"/>
          </w:r>
          <w:r>
            <w:rPr>
              <w:rFonts w:hint="eastAsia" w:ascii="黑体" w:hAnsi="黑体" w:eastAsia="黑体"/>
            </w:rPr>
            <w:t>九、国有资本经营预算支出决算情况说明</w:t>
          </w:r>
          <w:r>
            <w:tab/>
          </w:r>
          <w:r>
            <w:fldChar w:fldCharType="begin"/>
          </w:r>
          <w:r>
            <w:instrText xml:space="preserve"> PAGEREF _Toc12199 </w:instrText>
          </w:r>
          <w:r>
            <w:fldChar w:fldCharType="separate"/>
          </w:r>
          <w:r>
            <w:t>10</w:t>
          </w:r>
          <w:r>
            <w:fldChar w:fldCharType="end"/>
          </w:r>
          <w:r>
            <w:fldChar w:fldCharType="end"/>
          </w:r>
        </w:p>
        <w:p>
          <w:pPr>
            <w:pStyle w:val="42"/>
            <w:tabs>
              <w:tab w:val="right" w:leader="dot" w:pos="8306"/>
            </w:tabs>
            <w:ind w:left="420"/>
          </w:pPr>
          <w:r>
            <w:fldChar w:fldCharType="begin"/>
          </w:r>
          <w:r>
            <w:instrText xml:space="preserve"> HYPERLINK \l "_Toc14949" </w:instrText>
          </w:r>
          <w:r>
            <w:fldChar w:fldCharType="separate"/>
          </w:r>
          <w:r>
            <w:rPr>
              <w:rFonts w:hint="eastAsia" w:ascii="黑体" w:hAnsi="黑体" w:eastAsia="黑体"/>
            </w:rPr>
            <w:t>十、其他重要事项的情况说明</w:t>
          </w:r>
          <w:r>
            <w:tab/>
          </w:r>
          <w:r>
            <w:fldChar w:fldCharType="begin"/>
          </w:r>
          <w:r>
            <w:instrText xml:space="preserve"> PAGEREF _Toc14949 </w:instrText>
          </w:r>
          <w:r>
            <w:fldChar w:fldCharType="separate"/>
          </w:r>
          <w:r>
            <w:t>10</w:t>
          </w:r>
          <w:r>
            <w:fldChar w:fldCharType="end"/>
          </w:r>
          <w:r>
            <w:fldChar w:fldCharType="end"/>
          </w:r>
        </w:p>
        <w:p>
          <w:pPr>
            <w:pStyle w:val="41"/>
            <w:tabs>
              <w:tab w:val="right" w:leader="dot" w:pos="8306"/>
            </w:tabs>
            <w:rPr>
              <w:b/>
            </w:rPr>
          </w:pPr>
          <w:r>
            <w:fldChar w:fldCharType="begin"/>
          </w:r>
          <w:r>
            <w:instrText xml:space="preserve"> HYPERLINK \l "_Toc21575" </w:instrText>
          </w:r>
          <w:r>
            <w:fldChar w:fldCharType="separate"/>
          </w:r>
          <w:r>
            <w:rPr>
              <w:rFonts w:hint="eastAsia" w:ascii="黑体" w:hAnsi="黑体" w:eastAsia="黑体" w:cs="黑体"/>
              <w:b/>
              <w:szCs w:val="44"/>
            </w:rPr>
            <w:t>第三部分</w:t>
          </w:r>
          <w:r>
            <w:rPr>
              <w:rFonts w:hint="eastAsia" w:ascii="黑体" w:hAnsi="黑体" w:eastAsia="黑体"/>
              <w:b/>
              <w:szCs w:val="44"/>
            </w:rPr>
            <w:t>名</w:t>
          </w:r>
          <w:r>
            <w:rPr>
              <w:rFonts w:hint="eastAsia" w:ascii="黑体" w:hAnsi="黑体" w:eastAsia="黑体"/>
              <w:b/>
            </w:rPr>
            <w:t>词解释</w:t>
          </w:r>
          <w:r>
            <w:rPr>
              <w:b/>
            </w:rPr>
            <w:tab/>
          </w:r>
          <w:r>
            <w:rPr>
              <w:b/>
            </w:rPr>
            <w:fldChar w:fldCharType="begin"/>
          </w:r>
          <w:r>
            <w:rPr>
              <w:b/>
            </w:rPr>
            <w:instrText xml:space="preserve"> PAGEREF _Toc21575 </w:instrText>
          </w:r>
          <w:r>
            <w:rPr>
              <w:b/>
            </w:rPr>
            <w:fldChar w:fldCharType="separate"/>
          </w:r>
          <w:r>
            <w:rPr>
              <w:b/>
            </w:rPr>
            <w:t>11</w:t>
          </w:r>
          <w:r>
            <w:rPr>
              <w:b/>
            </w:rPr>
            <w:fldChar w:fldCharType="end"/>
          </w:r>
          <w:r>
            <w:rPr>
              <w:b/>
            </w:rPr>
            <w:fldChar w:fldCharType="end"/>
          </w:r>
        </w:p>
        <w:p>
          <w:pPr>
            <w:pStyle w:val="41"/>
            <w:tabs>
              <w:tab w:val="right" w:leader="dot" w:pos="8306"/>
            </w:tabs>
            <w:rPr>
              <w:b/>
            </w:rPr>
          </w:pPr>
          <w:r>
            <w:fldChar w:fldCharType="begin"/>
          </w:r>
          <w:r>
            <w:instrText xml:space="preserve"> HYPERLINK \l "_Toc16510" </w:instrText>
          </w:r>
          <w:r>
            <w:fldChar w:fldCharType="separate"/>
          </w:r>
          <w:r>
            <w:rPr>
              <w:rFonts w:hint="eastAsia" w:ascii="黑体" w:hAnsi="黑体" w:eastAsia="黑体"/>
              <w:b/>
              <w:szCs w:val="44"/>
            </w:rPr>
            <w:t>第</w:t>
          </w:r>
          <w:r>
            <w:rPr>
              <w:rFonts w:hint="eastAsia" w:ascii="黑体" w:hAnsi="黑体" w:eastAsia="黑体"/>
              <w:b/>
            </w:rPr>
            <w:t>四部分附件</w:t>
          </w:r>
          <w:r>
            <w:rPr>
              <w:b/>
            </w:rPr>
            <w:tab/>
          </w:r>
          <w:r>
            <w:rPr>
              <w:b/>
            </w:rPr>
            <w:fldChar w:fldCharType="begin"/>
          </w:r>
          <w:r>
            <w:rPr>
              <w:b/>
            </w:rPr>
            <w:instrText xml:space="preserve"> PAGEREF _Toc16510 </w:instrText>
          </w:r>
          <w:r>
            <w:rPr>
              <w:b/>
            </w:rPr>
            <w:fldChar w:fldCharType="separate"/>
          </w:r>
          <w:r>
            <w:rPr>
              <w:b/>
            </w:rPr>
            <w:t>14</w:t>
          </w:r>
          <w:r>
            <w:rPr>
              <w:b/>
            </w:rPr>
            <w:fldChar w:fldCharType="end"/>
          </w:r>
          <w:r>
            <w:rPr>
              <w:b/>
            </w:rPr>
            <w:fldChar w:fldCharType="end"/>
          </w:r>
        </w:p>
        <w:p>
          <w:pPr>
            <w:pStyle w:val="41"/>
            <w:tabs>
              <w:tab w:val="right" w:leader="dot" w:pos="8306"/>
            </w:tabs>
            <w:rPr>
              <w:b/>
            </w:rPr>
          </w:pPr>
          <w:r>
            <w:fldChar w:fldCharType="begin"/>
          </w:r>
          <w:r>
            <w:instrText xml:space="preserve"> HYPERLINK \l "_Toc29543" </w:instrText>
          </w:r>
          <w:r>
            <w:fldChar w:fldCharType="separate"/>
          </w:r>
          <w:r>
            <w:rPr>
              <w:rFonts w:hint="eastAsia" w:ascii="黑体" w:hAnsi="黑体" w:eastAsia="黑体"/>
              <w:b/>
              <w:szCs w:val="44"/>
            </w:rPr>
            <w:t>第</w:t>
          </w:r>
          <w:r>
            <w:rPr>
              <w:rFonts w:hint="eastAsia" w:ascii="黑体" w:hAnsi="黑体" w:eastAsia="黑体"/>
              <w:b/>
            </w:rPr>
            <w:t>五部分附表</w:t>
          </w:r>
          <w:r>
            <w:rPr>
              <w:b/>
            </w:rPr>
            <w:tab/>
          </w:r>
          <w:r>
            <w:rPr>
              <w:b/>
            </w:rPr>
            <w:fldChar w:fldCharType="begin"/>
          </w:r>
          <w:r>
            <w:rPr>
              <w:b/>
            </w:rPr>
            <w:instrText xml:space="preserve"> PAGEREF _Toc29543 </w:instrText>
          </w:r>
          <w:r>
            <w:rPr>
              <w:b/>
            </w:rPr>
            <w:fldChar w:fldCharType="separate"/>
          </w:r>
          <w:r>
            <w:rPr>
              <w:b/>
            </w:rPr>
            <w:t>16</w:t>
          </w:r>
          <w:r>
            <w:rPr>
              <w:b/>
            </w:rPr>
            <w:fldChar w:fldCharType="end"/>
          </w:r>
          <w:r>
            <w:rPr>
              <w:b/>
            </w:rPr>
            <w:fldChar w:fldCharType="end"/>
          </w:r>
        </w:p>
        <w:p>
          <w:pPr>
            <w:pStyle w:val="42"/>
            <w:tabs>
              <w:tab w:val="right" w:leader="dot" w:pos="8306"/>
            </w:tabs>
            <w:ind w:left="420"/>
          </w:pPr>
          <w:r>
            <w:fldChar w:fldCharType="begin"/>
          </w:r>
          <w:r>
            <w:instrText xml:space="preserve"> HYPERLINK \l "_Toc13027" </w:instrText>
          </w:r>
          <w:r>
            <w:fldChar w:fldCharType="separate"/>
          </w:r>
          <w:r>
            <w:rPr>
              <w:rFonts w:hint="eastAsia" w:ascii="仿宋" w:hAnsi="仿宋" w:eastAsia="仿宋"/>
            </w:rPr>
            <w:t>一、收入支出决算总表</w:t>
          </w:r>
          <w:r>
            <w:tab/>
          </w:r>
          <w:r>
            <w:fldChar w:fldCharType="begin"/>
          </w:r>
          <w:r>
            <w:instrText xml:space="preserve"> PAGEREF _Toc13027 </w:instrText>
          </w:r>
          <w:r>
            <w:fldChar w:fldCharType="separate"/>
          </w:r>
          <w:r>
            <w:t>16</w:t>
          </w:r>
          <w:r>
            <w:fldChar w:fldCharType="end"/>
          </w:r>
          <w:r>
            <w:fldChar w:fldCharType="end"/>
          </w:r>
        </w:p>
        <w:p>
          <w:pPr>
            <w:pStyle w:val="42"/>
            <w:tabs>
              <w:tab w:val="right" w:leader="dot" w:pos="8306"/>
            </w:tabs>
            <w:ind w:left="420"/>
          </w:pPr>
          <w:r>
            <w:fldChar w:fldCharType="begin"/>
          </w:r>
          <w:r>
            <w:instrText xml:space="preserve"> HYPERLINK \l "_Toc28759" </w:instrText>
          </w:r>
          <w:r>
            <w:fldChar w:fldCharType="separate"/>
          </w:r>
          <w:r>
            <w:rPr>
              <w:rFonts w:hint="eastAsia" w:ascii="仿宋" w:hAnsi="仿宋" w:eastAsia="仿宋"/>
            </w:rPr>
            <w:t>二、收入决算表</w:t>
          </w:r>
          <w:r>
            <w:tab/>
          </w:r>
          <w:r>
            <w:fldChar w:fldCharType="begin"/>
          </w:r>
          <w:r>
            <w:instrText xml:space="preserve"> PAGEREF _Toc28759 </w:instrText>
          </w:r>
          <w:r>
            <w:fldChar w:fldCharType="separate"/>
          </w:r>
          <w:r>
            <w:t>16</w:t>
          </w:r>
          <w:r>
            <w:fldChar w:fldCharType="end"/>
          </w:r>
          <w:r>
            <w:fldChar w:fldCharType="end"/>
          </w:r>
        </w:p>
        <w:p>
          <w:pPr>
            <w:pStyle w:val="42"/>
            <w:tabs>
              <w:tab w:val="right" w:leader="dot" w:pos="8306"/>
            </w:tabs>
            <w:ind w:left="420"/>
          </w:pPr>
          <w:r>
            <w:fldChar w:fldCharType="begin"/>
          </w:r>
          <w:r>
            <w:instrText xml:space="preserve"> HYPERLINK \l "_Toc26996" </w:instrText>
          </w:r>
          <w:r>
            <w:fldChar w:fldCharType="separate"/>
          </w:r>
          <w:r>
            <w:rPr>
              <w:rFonts w:hint="eastAsia" w:ascii="仿宋" w:hAnsi="仿宋" w:eastAsia="仿宋"/>
            </w:rPr>
            <w:t>三、支出决算表</w:t>
          </w:r>
          <w:r>
            <w:tab/>
          </w:r>
          <w:r>
            <w:fldChar w:fldCharType="begin"/>
          </w:r>
          <w:r>
            <w:instrText xml:space="preserve"> PAGEREF _Toc26996 </w:instrText>
          </w:r>
          <w:r>
            <w:fldChar w:fldCharType="separate"/>
          </w:r>
          <w:r>
            <w:t>16</w:t>
          </w:r>
          <w:r>
            <w:fldChar w:fldCharType="end"/>
          </w:r>
          <w:r>
            <w:fldChar w:fldCharType="end"/>
          </w:r>
        </w:p>
        <w:p>
          <w:pPr>
            <w:pStyle w:val="42"/>
            <w:tabs>
              <w:tab w:val="right" w:leader="dot" w:pos="8306"/>
            </w:tabs>
            <w:ind w:left="420"/>
          </w:pPr>
          <w:r>
            <w:fldChar w:fldCharType="begin"/>
          </w:r>
          <w:r>
            <w:instrText xml:space="preserve"> HYPERLINK \l "_Toc14880" </w:instrText>
          </w:r>
          <w:r>
            <w:fldChar w:fldCharType="separate"/>
          </w:r>
          <w:r>
            <w:rPr>
              <w:rFonts w:hint="eastAsia" w:ascii="仿宋" w:hAnsi="仿宋" w:eastAsia="仿宋"/>
            </w:rPr>
            <w:t>四、财政拨款收入支出决算总表</w:t>
          </w:r>
          <w:r>
            <w:tab/>
          </w:r>
          <w:r>
            <w:fldChar w:fldCharType="begin"/>
          </w:r>
          <w:r>
            <w:instrText xml:space="preserve"> PAGEREF _Toc14880 </w:instrText>
          </w:r>
          <w:r>
            <w:fldChar w:fldCharType="separate"/>
          </w:r>
          <w:r>
            <w:t>16</w:t>
          </w:r>
          <w:r>
            <w:fldChar w:fldCharType="end"/>
          </w:r>
          <w:r>
            <w:fldChar w:fldCharType="end"/>
          </w:r>
        </w:p>
        <w:p>
          <w:pPr>
            <w:pStyle w:val="42"/>
            <w:tabs>
              <w:tab w:val="right" w:leader="dot" w:pos="8306"/>
            </w:tabs>
            <w:ind w:left="420"/>
          </w:pPr>
          <w:r>
            <w:fldChar w:fldCharType="begin"/>
          </w:r>
          <w:r>
            <w:instrText xml:space="preserve"> HYPERLINK \l "_Toc25282" </w:instrText>
          </w:r>
          <w:r>
            <w:fldChar w:fldCharType="separate"/>
          </w:r>
          <w:r>
            <w:rPr>
              <w:rFonts w:hint="eastAsia" w:ascii="仿宋" w:hAnsi="仿宋" w:eastAsia="仿宋"/>
            </w:rPr>
            <w:t>五、财政拨款支出决算明细表</w:t>
          </w:r>
          <w:r>
            <w:tab/>
          </w:r>
          <w:r>
            <w:fldChar w:fldCharType="begin"/>
          </w:r>
          <w:r>
            <w:instrText xml:space="preserve"> PAGEREF _Toc25282 </w:instrText>
          </w:r>
          <w:r>
            <w:fldChar w:fldCharType="separate"/>
          </w:r>
          <w:r>
            <w:t>16</w:t>
          </w:r>
          <w:r>
            <w:fldChar w:fldCharType="end"/>
          </w:r>
          <w:r>
            <w:fldChar w:fldCharType="end"/>
          </w:r>
        </w:p>
        <w:p>
          <w:pPr>
            <w:pStyle w:val="42"/>
            <w:tabs>
              <w:tab w:val="right" w:leader="dot" w:pos="8306"/>
            </w:tabs>
            <w:ind w:left="420"/>
          </w:pPr>
          <w:r>
            <w:fldChar w:fldCharType="begin"/>
          </w:r>
          <w:r>
            <w:instrText xml:space="preserve"> HYPERLINK \l "_Toc27872" </w:instrText>
          </w:r>
          <w:r>
            <w:fldChar w:fldCharType="separate"/>
          </w:r>
          <w:r>
            <w:rPr>
              <w:rFonts w:hint="eastAsia" w:ascii="仿宋" w:hAnsi="仿宋" w:eastAsia="仿宋"/>
            </w:rPr>
            <w:t>六、一般公共预算财政拨款支出决算表</w:t>
          </w:r>
          <w:r>
            <w:tab/>
          </w:r>
          <w:r>
            <w:fldChar w:fldCharType="begin"/>
          </w:r>
          <w:r>
            <w:instrText xml:space="preserve"> PAGEREF _Toc27872 </w:instrText>
          </w:r>
          <w:r>
            <w:fldChar w:fldCharType="separate"/>
          </w:r>
          <w:r>
            <w:t>16</w:t>
          </w:r>
          <w:r>
            <w:fldChar w:fldCharType="end"/>
          </w:r>
          <w:r>
            <w:fldChar w:fldCharType="end"/>
          </w:r>
        </w:p>
        <w:p>
          <w:pPr>
            <w:pStyle w:val="42"/>
            <w:tabs>
              <w:tab w:val="right" w:leader="dot" w:pos="8306"/>
            </w:tabs>
            <w:ind w:left="420"/>
          </w:pPr>
          <w:r>
            <w:fldChar w:fldCharType="begin"/>
          </w:r>
          <w:r>
            <w:instrText xml:space="preserve"> HYPERLINK \l "_Toc1707" </w:instrText>
          </w:r>
          <w:r>
            <w:fldChar w:fldCharType="separate"/>
          </w:r>
          <w:r>
            <w:rPr>
              <w:rFonts w:hint="eastAsia" w:ascii="仿宋" w:hAnsi="仿宋" w:eastAsia="仿宋"/>
            </w:rPr>
            <w:t>七、一般公共预算财政拨款支出决算明细表</w:t>
          </w:r>
          <w:r>
            <w:tab/>
          </w:r>
          <w:r>
            <w:fldChar w:fldCharType="begin"/>
          </w:r>
          <w:r>
            <w:instrText xml:space="preserve"> PAGEREF _Toc1707 </w:instrText>
          </w:r>
          <w:r>
            <w:fldChar w:fldCharType="separate"/>
          </w:r>
          <w:r>
            <w:t>16</w:t>
          </w:r>
          <w:r>
            <w:fldChar w:fldCharType="end"/>
          </w:r>
          <w:r>
            <w:fldChar w:fldCharType="end"/>
          </w:r>
        </w:p>
        <w:p>
          <w:pPr>
            <w:pStyle w:val="42"/>
            <w:tabs>
              <w:tab w:val="right" w:leader="dot" w:pos="8306"/>
            </w:tabs>
            <w:ind w:left="420"/>
          </w:pPr>
          <w:r>
            <w:fldChar w:fldCharType="begin"/>
          </w:r>
          <w:r>
            <w:instrText xml:space="preserve"> HYPERLINK \l "_Toc1095" </w:instrText>
          </w:r>
          <w:r>
            <w:fldChar w:fldCharType="separate"/>
          </w:r>
          <w:r>
            <w:rPr>
              <w:rFonts w:hint="eastAsia" w:ascii="仿宋" w:hAnsi="仿宋" w:eastAsia="仿宋"/>
            </w:rPr>
            <w:t>八、一般公共预算财政拨款基本支出决算表</w:t>
          </w:r>
          <w:r>
            <w:tab/>
          </w:r>
          <w:r>
            <w:fldChar w:fldCharType="begin"/>
          </w:r>
          <w:r>
            <w:instrText xml:space="preserve"> PAGEREF _Toc1095 </w:instrText>
          </w:r>
          <w:r>
            <w:fldChar w:fldCharType="separate"/>
          </w:r>
          <w:r>
            <w:t>16</w:t>
          </w:r>
          <w:r>
            <w:fldChar w:fldCharType="end"/>
          </w:r>
          <w:r>
            <w:fldChar w:fldCharType="end"/>
          </w:r>
        </w:p>
        <w:p>
          <w:pPr>
            <w:pStyle w:val="42"/>
            <w:tabs>
              <w:tab w:val="right" w:leader="dot" w:pos="8306"/>
            </w:tabs>
            <w:ind w:left="420"/>
          </w:pPr>
          <w:r>
            <w:fldChar w:fldCharType="begin"/>
          </w:r>
          <w:r>
            <w:instrText xml:space="preserve"> HYPERLINK \l "_Toc4139" </w:instrText>
          </w:r>
          <w:r>
            <w:fldChar w:fldCharType="separate"/>
          </w:r>
          <w:r>
            <w:rPr>
              <w:rFonts w:hint="eastAsia" w:ascii="仿宋" w:hAnsi="仿宋" w:eastAsia="仿宋"/>
            </w:rPr>
            <w:t>九、一般公共预算财政拨款项目支出决算表</w:t>
          </w:r>
          <w:r>
            <w:tab/>
          </w:r>
          <w:r>
            <w:fldChar w:fldCharType="begin"/>
          </w:r>
          <w:r>
            <w:instrText xml:space="preserve"> PAGEREF _Toc4139 </w:instrText>
          </w:r>
          <w:r>
            <w:fldChar w:fldCharType="separate"/>
          </w:r>
          <w:r>
            <w:t>16</w:t>
          </w:r>
          <w:r>
            <w:fldChar w:fldCharType="end"/>
          </w:r>
          <w:r>
            <w:fldChar w:fldCharType="end"/>
          </w:r>
        </w:p>
        <w:p>
          <w:pPr>
            <w:pStyle w:val="42"/>
            <w:tabs>
              <w:tab w:val="right" w:leader="dot" w:pos="8306"/>
            </w:tabs>
            <w:ind w:left="420"/>
          </w:pPr>
          <w:r>
            <w:fldChar w:fldCharType="begin"/>
          </w:r>
          <w:r>
            <w:instrText xml:space="preserve"> HYPERLINK \l "_Toc27976" </w:instrText>
          </w:r>
          <w:r>
            <w:fldChar w:fldCharType="separate"/>
          </w:r>
          <w:r>
            <w:rPr>
              <w:rFonts w:hint="eastAsia" w:ascii="仿宋" w:hAnsi="仿宋" w:eastAsia="仿宋"/>
            </w:rPr>
            <w:t>十、一般公共预算财政拨款“三公”经费支出决算表</w:t>
          </w:r>
          <w:r>
            <w:tab/>
          </w:r>
          <w:r>
            <w:fldChar w:fldCharType="begin"/>
          </w:r>
          <w:r>
            <w:instrText xml:space="preserve"> PAGEREF _Toc27976 </w:instrText>
          </w:r>
          <w:r>
            <w:fldChar w:fldCharType="separate"/>
          </w:r>
          <w:r>
            <w:t>16</w:t>
          </w:r>
          <w:r>
            <w:fldChar w:fldCharType="end"/>
          </w:r>
          <w:r>
            <w:fldChar w:fldCharType="end"/>
          </w:r>
        </w:p>
        <w:p>
          <w:pPr>
            <w:pStyle w:val="42"/>
            <w:tabs>
              <w:tab w:val="right" w:leader="dot" w:pos="8306"/>
            </w:tabs>
            <w:ind w:left="420"/>
          </w:pPr>
          <w:r>
            <w:fldChar w:fldCharType="begin"/>
          </w:r>
          <w:r>
            <w:instrText xml:space="preserve"> HYPERLINK \l "_Toc26305" </w:instrText>
          </w:r>
          <w:r>
            <w:fldChar w:fldCharType="separate"/>
          </w:r>
          <w:r>
            <w:rPr>
              <w:rFonts w:hint="eastAsia" w:ascii="仿宋" w:hAnsi="仿宋" w:eastAsia="仿宋"/>
            </w:rPr>
            <w:t>十一、政府性基金预算财政拨款收入支出决算表</w:t>
          </w:r>
          <w:r>
            <w:tab/>
          </w:r>
          <w:r>
            <w:fldChar w:fldCharType="begin"/>
          </w:r>
          <w:r>
            <w:instrText xml:space="preserve"> PAGEREF _Toc26305 </w:instrText>
          </w:r>
          <w:r>
            <w:fldChar w:fldCharType="separate"/>
          </w:r>
          <w:r>
            <w:t>16</w:t>
          </w:r>
          <w:r>
            <w:fldChar w:fldCharType="end"/>
          </w:r>
          <w:r>
            <w:fldChar w:fldCharType="end"/>
          </w:r>
        </w:p>
        <w:p>
          <w:pPr>
            <w:pStyle w:val="42"/>
            <w:tabs>
              <w:tab w:val="right" w:leader="dot" w:pos="8306"/>
            </w:tabs>
            <w:ind w:left="420"/>
          </w:pPr>
          <w:r>
            <w:fldChar w:fldCharType="begin"/>
          </w:r>
          <w:r>
            <w:instrText xml:space="preserve"> HYPERLINK \l "_Toc20059" </w:instrText>
          </w:r>
          <w:r>
            <w:fldChar w:fldCharType="separate"/>
          </w:r>
          <w:r>
            <w:rPr>
              <w:rFonts w:hint="eastAsia" w:ascii="仿宋" w:hAnsi="仿宋" w:eastAsia="仿宋"/>
            </w:rPr>
            <w:t>十二、政府性基金预算财政拨款“三公”经费支出决算表</w:t>
          </w:r>
          <w:r>
            <w:tab/>
          </w:r>
          <w:r>
            <w:fldChar w:fldCharType="begin"/>
          </w:r>
          <w:r>
            <w:instrText xml:space="preserve"> PAGEREF _Toc20059 </w:instrText>
          </w:r>
          <w:r>
            <w:fldChar w:fldCharType="separate"/>
          </w:r>
          <w:r>
            <w:t>16</w:t>
          </w:r>
          <w:r>
            <w:fldChar w:fldCharType="end"/>
          </w:r>
          <w:r>
            <w:fldChar w:fldCharType="end"/>
          </w:r>
        </w:p>
        <w:p>
          <w:pPr>
            <w:pStyle w:val="42"/>
            <w:tabs>
              <w:tab w:val="right" w:leader="dot" w:pos="8306"/>
            </w:tabs>
            <w:ind w:left="420"/>
          </w:pPr>
          <w:r>
            <w:fldChar w:fldCharType="begin"/>
          </w:r>
          <w:r>
            <w:instrText xml:space="preserve"> HYPERLINK \l "_Toc18482" </w:instrText>
          </w:r>
          <w:r>
            <w:fldChar w:fldCharType="separate"/>
          </w:r>
          <w:r>
            <w:rPr>
              <w:rFonts w:hint="eastAsia" w:ascii="仿宋" w:hAnsi="仿宋" w:eastAsia="仿宋"/>
            </w:rPr>
            <w:t>十三、国有资本经营预算财政拨款收入支出决算表</w:t>
          </w:r>
          <w:r>
            <w:tab/>
          </w:r>
          <w:r>
            <w:fldChar w:fldCharType="begin"/>
          </w:r>
          <w:r>
            <w:instrText xml:space="preserve"> PAGEREF _Toc18482 </w:instrText>
          </w:r>
          <w:r>
            <w:fldChar w:fldCharType="separate"/>
          </w:r>
          <w:r>
            <w:t>16</w:t>
          </w:r>
          <w:r>
            <w:fldChar w:fldCharType="end"/>
          </w:r>
          <w:r>
            <w:fldChar w:fldCharType="end"/>
          </w:r>
        </w:p>
        <w:p>
          <w:pPr>
            <w:pStyle w:val="42"/>
            <w:tabs>
              <w:tab w:val="right" w:leader="dot" w:pos="8306"/>
            </w:tabs>
            <w:ind w:left="420"/>
          </w:pPr>
          <w:r>
            <w:fldChar w:fldCharType="begin"/>
          </w:r>
          <w:r>
            <w:instrText xml:space="preserve"> HYPERLINK \l "_Toc683" </w:instrText>
          </w:r>
          <w:r>
            <w:fldChar w:fldCharType="separate"/>
          </w:r>
          <w:r>
            <w:rPr>
              <w:rFonts w:hint="eastAsia" w:ascii="仿宋" w:hAnsi="仿宋" w:eastAsia="仿宋"/>
            </w:rPr>
            <w:t>十四、国有资本经营预算财政拨款支出决算表</w:t>
          </w:r>
          <w:r>
            <w:tab/>
          </w:r>
          <w:r>
            <w:fldChar w:fldCharType="begin"/>
          </w:r>
          <w:r>
            <w:instrText xml:space="preserve"> PAGEREF _Toc683 </w:instrText>
          </w:r>
          <w:r>
            <w:fldChar w:fldCharType="separate"/>
          </w:r>
          <w:r>
            <w:t>16</w:t>
          </w:r>
          <w:r>
            <w:fldChar w:fldCharType="end"/>
          </w:r>
          <w:r>
            <w:fldChar w:fldCharType="end"/>
          </w:r>
        </w:p>
        <w:p>
          <w:r>
            <w:rPr>
              <w:b/>
            </w:rPr>
            <w:fldChar w:fldCharType="end"/>
          </w:r>
        </w:p>
      </w:sdtContent>
    </w:sdt>
    <w:p>
      <w:pPr>
        <w:widowControl/>
        <w:spacing w:line="440" w:lineRule="exact"/>
        <w:jc w:val="left"/>
        <w:rPr>
          <w:rFonts w:ascii="仿宋" w:hAnsi="仿宋" w:eastAsia="仿宋"/>
          <w:bCs/>
          <w:kern w:val="44"/>
          <w:sz w:val="24"/>
        </w:rPr>
      </w:pPr>
      <w:r>
        <w:br w:type="page"/>
      </w:r>
    </w:p>
    <w:p>
      <w:pPr>
        <w:pStyle w:val="13"/>
        <w:jc w:val="center"/>
        <w:rPr>
          <w:rStyle w:val="30"/>
          <w:rFonts w:ascii="黑体" w:hAnsi="黑体" w:eastAsia="黑体"/>
          <w:b/>
          <w:bCs w:val="0"/>
        </w:rPr>
      </w:pPr>
      <w:bookmarkStart w:id="16" w:name="_Toc28277"/>
      <w:r>
        <w:rPr>
          <w:rFonts w:hint="eastAsia" w:ascii="黑体" w:hAnsi="黑体" w:eastAsia="黑体"/>
          <w:b w:val="0"/>
        </w:rPr>
        <w:t>第一部分单位</w:t>
      </w:r>
      <w:r>
        <w:rPr>
          <w:rStyle w:val="30"/>
          <w:rFonts w:hint="eastAsia" w:ascii="黑体" w:hAnsi="黑体" w:eastAsia="黑体"/>
          <w:b w:val="0"/>
          <w:bCs w:val="0"/>
        </w:rPr>
        <w:t>概况</w:t>
      </w:r>
      <w:bookmarkEnd w:id="15"/>
      <w:bookmarkEnd w:id="16"/>
    </w:p>
    <w:p>
      <w:pPr>
        <w:pStyle w:val="14"/>
        <w:spacing w:before="0" w:after="0" w:line="560" w:lineRule="exact"/>
        <w:ind w:firstLine="640" w:firstLineChars="200"/>
      </w:pPr>
      <w:bookmarkStart w:id="17" w:name="_Toc2506"/>
      <w:bookmarkStart w:id="18" w:name="_Toc15377197"/>
      <w:bookmarkStart w:id="19" w:name="_Toc15396600"/>
      <w:r>
        <w:rPr>
          <w:rStyle w:val="31"/>
          <w:rFonts w:hint="eastAsia" w:ascii="黑体" w:hAnsi="黑体" w:eastAsia="黑体"/>
          <w:b w:val="0"/>
          <w:bCs w:val="0"/>
        </w:rPr>
        <w:t>一、职能简介</w:t>
      </w:r>
      <w:bookmarkEnd w:id="17"/>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江县长坪镇新文小学是一所乡镇寄宿制小学，贯彻落实党和国家的教育方针、政策，严格执行上级主管部门的决议和指示，全面实施素质教育，培养德、智、体、美等方面全面发展的社会主义事业的建设者和接班人，做到为党育人，为国育才。</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研究拟定学校教育发展规划，贯彻执行党和国家的教育方针、政策。</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研究拟定学校年度教学计划，组织实施教育教学活动。</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管理和指导学校教育教学工作；确保普及九年义务教育工作成果。</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管理学校教育经费；严格执行财务管理制度，保障学校教育教学活动正常开展。</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负责和指导学校教职工的思想政治工作，规划学校思想品德教育、体育卫生教育、安全教育、艺术教育和国防教育工作；负责做好社会治安综合治理及安全保卫工作。</w:t>
      </w:r>
    </w:p>
    <w:p>
      <w:pPr>
        <w:pStyle w:val="3"/>
        <w:spacing w:beforeLines="0" w:line="560" w:lineRule="exact"/>
        <w:rPr>
          <w:rFonts w:hAnsi="仿宋_GB2312" w:cs="仿宋_GB2312"/>
          <w:sz w:val="32"/>
          <w:szCs w:val="32"/>
        </w:rPr>
      </w:pPr>
      <w:r>
        <w:rPr>
          <w:rFonts w:hint="eastAsia" w:hAnsi="仿宋_GB2312" w:cs="仿宋_GB2312"/>
          <w:sz w:val="32"/>
          <w:szCs w:val="32"/>
        </w:rPr>
        <w:t>（六）完成小学学历教育。</w:t>
      </w:r>
    </w:p>
    <w:p>
      <w:pPr>
        <w:pStyle w:val="14"/>
        <w:spacing w:before="0" w:after="0" w:line="560" w:lineRule="exact"/>
        <w:ind w:firstLine="640" w:firstLineChars="200"/>
        <w:rPr>
          <w:rFonts w:ascii="黑体" w:hAnsi="黑体" w:eastAsia="黑体"/>
          <w:b w:val="0"/>
        </w:rPr>
      </w:pPr>
      <w:bookmarkStart w:id="20" w:name="_Toc16715"/>
      <w:r>
        <w:rPr>
          <w:rFonts w:hint="eastAsia" w:ascii="黑体" w:hAnsi="黑体" w:eastAsia="黑体"/>
          <w:b w:val="0"/>
        </w:rPr>
        <w:t>二、2021年重点工作</w:t>
      </w:r>
      <w:bookmarkEnd w:id="18"/>
      <w:bookmarkEnd w:id="19"/>
      <w:r>
        <w:rPr>
          <w:rFonts w:hint="eastAsia" w:ascii="黑体" w:hAnsi="黑体" w:eastAsia="黑体"/>
          <w:b w:val="0"/>
        </w:rPr>
        <w:t>完成情况</w:t>
      </w:r>
      <w:bookmarkEnd w:id="20"/>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通江县长坪镇新文小学在县委、县政府的领导下，在上级主管部门的指导下，以“和谐、勤奋、健美、创新”为校训，全面完成了2021年教育教学工作。</w:t>
      </w:r>
    </w:p>
    <w:p>
      <w:pPr>
        <w:pStyle w:val="13"/>
        <w:ind w:right="440"/>
        <w:jc w:val="center"/>
      </w:pPr>
      <w:bookmarkStart w:id="21" w:name="_Toc15396602"/>
      <w:bookmarkStart w:id="22" w:name="_Toc15377204"/>
      <w:bookmarkStart w:id="23" w:name="_Toc27643"/>
      <w:r>
        <w:rPr>
          <w:rFonts w:hint="eastAsia" w:ascii="黑体" w:hAnsi="黑体" w:eastAsia="黑体"/>
          <w:b w:val="0"/>
        </w:rPr>
        <w:t>第二部分 2021年度</w:t>
      </w:r>
      <w:r>
        <w:rPr>
          <w:rStyle w:val="30"/>
          <w:rFonts w:hint="eastAsia" w:ascii="黑体" w:hAnsi="黑体" w:eastAsia="黑体"/>
          <w:b w:val="0"/>
          <w:bCs/>
        </w:rPr>
        <w:t>单位决算情况说明</w:t>
      </w:r>
      <w:bookmarkEnd w:id="21"/>
      <w:bookmarkEnd w:id="22"/>
      <w:bookmarkEnd w:id="23"/>
    </w:p>
    <w:p>
      <w:pPr>
        <w:pStyle w:val="29"/>
        <w:numPr>
          <w:ilvl w:val="0"/>
          <w:numId w:val="2"/>
        </w:numPr>
        <w:spacing w:line="600" w:lineRule="exact"/>
        <w:ind w:firstLineChars="0"/>
        <w:outlineLvl w:val="1"/>
        <w:rPr>
          <w:rStyle w:val="31"/>
          <w:rFonts w:ascii="黑体" w:hAnsi="黑体" w:eastAsia="黑体"/>
          <w:b w:val="0"/>
        </w:rPr>
      </w:pPr>
      <w:bookmarkStart w:id="24" w:name="_Toc15377205"/>
      <w:bookmarkStart w:id="25" w:name="_Toc28487"/>
      <w:bookmarkStart w:id="26" w:name="_Toc15396603"/>
      <w:r>
        <w:rPr>
          <w:rFonts w:hint="eastAsia" w:ascii="黑体" w:hAnsi="黑体" w:eastAsia="黑体"/>
          <w:sz w:val="32"/>
          <w:szCs w:val="32"/>
        </w:rPr>
        <w:t>收</w:t>
      </w:r>
      <w:r>
        <w:rPr>
          <w:rStyle w:val="31"/>
          <w:rFonts w:hint="eastAsia" w:ascii="黑体" w:hAnsi="黑体" w:eastAsia="黑体"/>
          <w:b w:val="0"/>
        </w:rPr>
        <w:t>入支出</w:t>
      </w:r>
      <w:r>
        <w:rPr>
          <w:rFonts w:hint="eastAsia" w:ascii="黑体" w:hAnsi="黑体" w:eastAsia="黑体"/>
          <w:sz w:val="32"/>
          <w:szCs w:val="32"/>
        </w:rPr>
        <w:t>决算总体情况说明</w:t>
      </w:r>
      <w:bookmarkEnd w:id="24"/>
      <w:bookmarkEnd w:id="25"/>
      <w:bookmarkEnd w:id="26"/>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2021年度收、支总计345.28万元。与2020年相比，收、支总计各增加20.19万元，增长6.2</w:t>
      </w:r>
      <w:r>
        <w:rPr>
          <w:rFonts w:ascii="仿宋" w:hAnsi="仿宋" w:eastAsia="仿宋"/>
          <w:sz w:val="32"/>
          <w:szCs w:val="32"/>
        </w:rPr>
        <w:t>%</w:t>
      </w:r>
      <w:r>
        <w:rPr>
          <w:rFonts w:hint="eastAsia" w:ascii="仿宋" w:hAnsi="仿宋" w:eastAsia="仿宋"/>
          <w:sz w:val="32"/>
          <w:szCs w:val="32"/>
        </w:rPr>
        <w:t>。主要变动原因是人员增加及人员正常增资和项目资金。</w:t>
      </w:r>
    </w:p>
    <w:p>
      <w:pPr>
        <w:pStyle w:val="3"/>
        <w:spacing w:before="93"/>
        <w:rPr>
          <w:rFonts w:ascii="仿宋" w:hAnsi="仿宋" w:eastAsia="仿宋"/>
          <w:sz w:val="32"/>
          <w:szCs w:val="32"/>
        </w:rPr>
      </w:pPr>
      <w:r>
        <w:rPr>
          <w:rFonts w:hint="eastAsia" w:ascii="仿宋" w:hAnsi="仿宋" w:eastAsia="仿宋"/>
          <w:sz w:val="32"/>
          <w:szCs w:val="32"/>
        </w:rPr>
        <w:drawing>
          <wp:inline distT="0" distB="0" distL="114300" distR="114300">
            <wp:extent cx="4880610" cy="3276600"/>
            <wp:effectExtent l="4445" t="4445" r="10795" b="14605"/>
            <wp:docPr id="177" name="_x0000_i216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3"/>
        <w:spacing w:before="93"/>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29"/>
        <w:numPr>
          <w:ilvl w:val="0"/>
          <w:numId w:val="2"/>
        </w:numPr>
        <w:spacing w:line="600" w:lineRule="exact"/>
        <w:ind w:firstLineChars="0"/>
        <w:outlineLvl w:val="1"/>
        <w:rPr>
          <w:rStyle w:val="31"/>
          <w:rFonts w:ascii="黑体" w:hAnsi="黑体" w:eastAsia="黑体"/>
          <w:b w:val="0"/>
        </w:rPr>
      </w:pPr>
      <w:bookmarkStart w:id="27" w:name="_Toc15396604"/>
      <w:bookmarkStart w:id="28" w:name="_Toc13947"/>
      <w:bookmarkStart w:id="29" w:name="_Toc15377206"/>
      <w:r>
        <w:rPr>
          <w:rFonts w:hint="eastAsia" w:ascii="黑体" w:hAnsi="黑体" w:eastAsia="黑体"/>
          <w:sz w:val="32"/>
          <w:szCs w:val="32"/>
        </w:rPr>
        <w:t>收</w:t>
      </w:r>
      <w:r>
        <w:rPr>
          <w:rStyle w:val="31"/>
          <w:rFonts w:hint="eastAsia" w:ascii="黑体" w:hAnsi="黑体" w:eastAsia="黑体"/>
          <w:b w:val="0"/>
        </w:rPr>
        <w:t>入决算情况说明</w:t>
      </w:r>
      <w:bookmarkEnd w:id="27"/>
      <w:bookmarkEnd w:id="28"/>
      <w:bookmarkEnd w:id="29"/>
    </w:p>
    <w:p>
      <w:pPr>
        <w:spacing w:line="600" w:lineRule="exact"/>
        <w:ind w:firstLine="640" w:firstLineChars="200"/>
        <w:outlineLvl w:val="1"/>
        <w:rPr>
          <w:rFonts w:ascii="仿宋" w:hAnsi="仿宋" w:eastAsia="仿宋"/>
          <w:sz w:val="32"/>
          <w:szCs w:val="32"/>
        </w:rPr>
      </w:pPr>
      <w:bookmarkStart w:id="30" w:name="_Toc7173"/>
      <w:r>
        <w:rPr>
          <w:rFonts w:ascii="仿宋" w:hAnsi="仿宋" w:eastAsia="仿宋"/>
          <w:sz w:val="32"/>
          <w:szCs w:val="32"/>
        </w:rPr>
        <w:t>20</w:t>
      </w:r>
      <w:r>
        <w:rPr>
          <w:rFonts w:hint="eastAsia" w:ascii="仿宋" w:hAnsi="仿宋" w:eastAsia="仿宋"/>
          <w:sz w:val="32"/>
          <w:szCs w:val="32"/>
        </w:rPr>
        <w:t>21年本年收入合计345.28万元，其中：一般公共预算财政拨款收入</w:t>
      </w:r>
      <w:r>
        <w:rPr>
          <w:rFonts w:ascii="仿宋" w:hAnsi="仿宋" w:eastAsia="仿宋"/>
          <w:sz w:val="32"/>
          <w:szCs w:val="32"/>
        </w:rPr>
        <w:t>3</w:t>
      </w:r>
      <w:r>
        <w:rPr>
          <w:rFonts w:hint="eastAsia" w:ascii="仿宋" w:hAnsi="仿宋" w:eastAsia="仿宋"/>
          <w:sz w:val="32"/>
          <w:szCs w:val="32"/>
        </w:rPr>
        <w:t>45.28万元，占100</w:t>
      </w:r>
      <w:r>
        <w:rPr>
          <w:rFonts w:ascii="仿宋" w:hAnsi="仿宋" w:eastAsia="仿宋"/>
          <w:sz w:val="32"/>
          <w:szCs w:val="32"/>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；营业收入0万元，占比0</w:t>
      </w:r>
      <w:r>
        <w:rPr>
          <w:rFonts w:ascii="仿宋" w:hAnsi="仿宋" w:eastAsia="仿宋"/>
          <w:sz w:val="32"/>
          <w:szCs w:val="32"/>
        </w:rPr>
        <w:t>%</w:t>
      </w:r>
      <w:r>
        <w:rPr>
          <w:rFonts w:hint="eastAsia" w:ascii="仿宋" w:hAnsi="仿宋" w:eastAsia="仿宋"/>
          <w:sz w:val="32"/>
          <w:szCs w:val="32"/>
        </w:rPr>
        <w:t>；经营收入0万元，占比0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w:t>
      </w:r>
      <w:bookmarkEnd w:id="30"/>
    </w:p>
    <w:p>
      <w:pPr>
        <w:pStyle w:val="3"/>
        <w:spacing w:before="93"/>
        <w:rPr>
          <w:rFonts w:ascii="仿宋" w:hAnsi="仿宋" w:eastAsia="仿宋"/>
          <w:sz w:val="32"/>
          <w:szCs w:val="32"/>
        </w:rPr>
      </w:pPr>
      <w:r>
        <w:rPr>
          <w:rFonts w:hint="eastAsia" w:ascii="仿宋" w:hAnsi="仿宋" w:eastAsia="仿宋"/>
          <w:sz w:val="32"/>
          <w:szCs w:val="32"/>
        </w:rPr>
        <w:drawing>
          <wp:inline distT="0" distB="0" distL="114300" distR="114300">
            <wp:extent cx="4280535" cy="2610485"/>
            <wp:effectExtent l="4445" t="4445" r="20320" b="13970"/>
            <wp:docPr id="178" name="_x0000_i216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w:t>
      </w:r>
    </w:p>
    <w:p>
      <w:pPr>
        <w:pStyle w:val="29"/>
        <w:numPr>
          <w:ilvl w:val="0"/>
          <w:numId w:val="2"/>
        </w:numPr>
        <w:spacing w:line="600" w:lineRule="exact"/>
        <w:ind w:firstLineChars="0"/>
        <w:outlineLvl w:val="1"/>
        <w:rPr>
          <w:rStyle w:val="31"/>
          <w:rFonts w:ascii="黑体" w:hAnsi="黑体" w:eastAsia="黑体"/>
          <w:b w:val="0"/>
        </w:rPr>
      </w:pPr>
      <w:bookmarkStart w:id="31" w:name="_Toc28327"/>
      <w:bookmarkStart w:id="32" w:name="_Toc15396605"/>
      <w:bookmarkStart w:id="33" w:name="_Toc15377207"/>
      <w:r>
        <w:rPr>
          <w:rFonts w:hint="eastAsia" w:ascii="黑体" w:hAnsi="黑体" w:eastAsia="黑体"/>
          <w:sz w:val="32"/>
          <w:szCs w:val="32"/>
        </w:rPr>
        <w:t>支</w:t>
      </w:r>
      <w:r>
        <w:rPr>
          <w:rStyle w:val="31"/>
          <w:rFonts w:hint="eastAsia" w:ascii="黑体" w:hAnsi="黑体" w:eastAsia="黑体"/>
          <w:b w:val="0"/>
        </w:rPr>
        <w:t>出</w:t>
      </w:r>
      <w:r>
        <w:rPr>
          <w:rFonts w:hint="eastAsia" w:ascii="黑体" w:hAnsi="黑体" w:eastAsia="黑体"/>
        </w:rPr>
        <w:t>决算情况说明</w:t>
      </w:r>
      <w:bookmarkEnd w:id="31"/>
      <w:bookmarkEnd w:id="32"/>
      <w:bookmarkEnd w:id="33"/>
    </w:p>
    <w:p>
      <w:pPr>
        <w:spacing w:line="600" w:lineRule="exact"/>
        <w:ind w:firstLine="640" w:firstLineChars="200"/>
        <w:outlineLvl w:val="1"/>
        <w:rPr>
          <w:rFonts w:ascii="仿宋" w:hAnsi="仿宋" w:eastAsia="仿宋"/>
          <w:sz w:val="32"/>
          <w:szCs w:val="32"/>
        </w:rPr>
      </w:pPr>
      <w:bookmarkStart w:id="34" w:name="_Toc3826"/>
      <w:r>
        <w:rPr>
          <w:rFonts w:ascii="仿宋" w:hAnsi="仿宋" w:eastAsia="仿宋"/>
          <w:sz w:val="32"/>
          <w:szCs w:val="32"/>
        </w:rPr>
        <w:t>20</w:t>
      </w:r>
      <w:r>
        <w:rPr>
          <w:rFonts w:hint="eastAsia" w:ascii="仿宋" w:hAnsi="仿宋" w:eastAsia="仿宋"/>
          <w:sz w:val="32"/>
          <w:szCs w:val="32"/>
        </w:rPr>
        <w:t>21年本年支出合计345.28万元，其中：基本支出315.08万元，占</w:t>
      </w:r>
      <w:r>
        <w:rPr>
          <w:rFonts w:ascii="仿宋" w:hAnsi="仿宋" w:eastAsia="仿宋"/>
          <w:sz w:val="32"/>
          <w:szCs w:val="32"/>
        </w:rPr>
        <w:t>9</w:t>
      </w:r>
      <w:r>
        <w:rPr>
          <w:rFonts w:hint="eastAsia" w:ascii="仿宋" w:hAnsi="仿宋" w:eastAsia="仿宋"/>
          <w:sz w:val="32"/>
          <w:szCs w:val="32"/>
        </w:rPr>
        <w:t>1.25</w:t>
      </w:r>
      <w:r>
        <w:rPr>
          <w:rFonts w:ascii="仿宋" w:hAnsi="仿宋" w:eastAsia="仿宋"/>
          <w:sz w:val="32"/>
          <w:szCs w:val="32"/>
        </w:rPr>
        <w:t>%</w:t>
      </w:r>
      <w:r>
        <w:rPr>
          <w:rFonts w:hint="eastAsia" w:ascii="仿宋" w:hAnsi="仿宋" w:eastAsia="仿宋"/>
          <w:sz w:val="32"/>
          <w:szCs w:val="32"/>
        </w:rPr>
        <w:t>；项目支出30.20万元，占8.75</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bookmarkEnd w:id="34"/>
    </w:p>
    <w:p>
      <w:pPr>
        <w:pStyle w:val="3"/>
        <w:spacing w:before="93"/>
        <w:rPr>
          <w:rFonts w:ascii="仿宋" w:hAnsi="仿宋" w:eastAsia="仿宋"/>
          <w:sz w:val="32"/>
          <w:szCs w:val="32"/>
          <w:shd w:val="pct10" w:color="auto" w:fill="FFFFFF"/>
        </w:rPr>
      </w:pPr>
      <w:r>
        <w:rPr>
          <w:rFonts w:hint="eastAsia" w:ascii="仿宋" w:hAnsi="仿宋" w:eastAsia="仿宋"/>
          <w:sz w:val="32"/>
          <w:szCs w:val="32"/>
        </w:rPr>
        <w:drawing>
          <wp:inline distT="0" distB="0" distL="114300" distR="114300">
            <wp:extent cx="4337050" cy="2772410"/>
            <wp:effectExtent l="4445" t="4445" r="20955" b="23495"/>
            <wp:docPr id="179" name="_x0000_i216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_GB2312" w:eastAsia="仿宋_GB2312"/>
          <w:sz w:val="32"/>
          <w:szCs w:val="32"/>
        </w:rPr>
      </w:pPr>
      <w:r>
        <w:rPr>
          <w:rFonts w:hint="eastAsia" w:ascii="仿宋" w:hAnsi="仿宋" w:eastAsia="仿宋"/>
          <w:sz w:val="32"/>
          <w:szCs w:val="32"/>
        </w:rPr>
        <w:t>（图3：支出决算结构图）</w:t>
      </w:r>
    </w:p>
    <w:p>
      <w:pPr>
        <w:spacing w:line="600" w:lineRule="exact"/>
        <w:ind w:firstLine="640" w:firstLineChars="200"/>
        <w:outlineLvl w:val="1"/>
        <w:rPr>
          <w:rStyle w:val="31"/>
          <w:rFonts w:ascii="黑体" w:hAnsi="黑体" w:eastAsia="黑体"/>
          <w:b w:val="0"/>
        </w:rPr>
      </w:pPr>
      <w:bookmarkStart w:id="35" w:name="_Toc15377208"/>
      <w:bookmarkStart w:id="36" w:name="_Toc16302"/>
      <w:bookmarkStart w:id="37" w:name="_Toc15396606"/>
      <w:r>
        <w:rPr>
          <w:rFonts w:hint="eastAsia" w:ascii="黑体" w:hAnsi="黑体" w:eastAsia="黑体"/>
          <w:sz w:val="32"/>
          <w:szCs w:val="32"/>
        </w:rPr>
        <w:t>四、财</w:t>
      </w:r>
      <w:r>
        <w:rPr>
          <w:rStyle w:val="31"/>
          <w:rFonts w:hint="eastAsia" w:ascii="黑体" w:hAnsi="黑体" w:eastAsia="黑体"/>
          <w:b w:val="0"/>
        </w:rPr>
        <w:t>政拨款收入支出</w:t>
      </w:r>
      <w:r>
        <w:rPr>
          <w:rFonts w:hint="eastAsia" w:ascii="黑体" w:hAnsi="黑体" w:eastAsia="黑体"/>
        </w:rPr>
        <w:t>决算总体情况说明</w:t>
      </w:r>
      <w:bookmarkEnd w:id="35"/>
      <w:bookmarkEnd w:id="36"/>
      <w:bookmarkEnd w:id="37"/>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21年财政拨款收、支总计345.28万元。与</w:t>
      </w:r>
      <w:r>
        <w:rPr>
          <w:rFonts w:ascii="仿宋" w:hAnsi="仿宋" w:eastAsia="仿宋"/>
          <w:sz w:val="32"/>
          <w:szCs w:val="32"/>
        </w:rPr>
        <w:t>20</w:t>
      </w:r>
      <w:r>
        <w:rPr>
          <w:rFonts w:hint="eastAsia" w:ascii="仿宋" w:hAnsi="仿宋" w:eastAsia="仿宋"/>
          <w:sz w:val="32"/>
          <w:szCs w:val="32"/>
        </w:rPr>
        <w:t>20年相比，财政拨款收、支总计各增加20.19万元，增长6.2</w:t>
      </w:r>
      <w:r>
        <w:rPr>
          <w:rFonts w:ascii="仿宋" w:hAnsi="仿宋" w:eastAsia="仿宋"/>
          <w:sz w:val="32"/>
          <w:szCs w:val="32"/>
        </w:rPr>
        <w:t>%</w:t>
      </w:r>
      <w:r>
        <w:rPr>
          <w:rFonts w:hint="eastAsia" w:ascii="仿宋" w:hAnsi="仿宋" w:eastAsia="仿宋"/>
          <w:sz w:val="32"/>
          <w:szCs w:val="32"/>
        </w:rPr>
        <w:t>。主要变动原因是人员正常增资和项目资金。</w:t>
      </w:r>
    </w:p>
    <w:p>
      <w:pPr>
        <w:pStyle w:val="3"/>
        <w:spacing w:before="93"/>
        <w:rPr>
          <w:rFonts w:ascii="仿宋" w:hAnsi="仿宋" w:eastAsia="仿宋"/>
          <w:sz w:val="32"/>
          <w:szCs w:val="32"/>
        </w:rPr>
      </w:pPr>
      <w:r>
        <w:rPr>
          <w:rFonts w:hint="eastAsia" w:ascii="仿宋" w:hAnsi="仿宋" w:eastAsia="仿宋"/>
          <w:sz w:val="32"/>
          <w:szCs w:val="32"/>
        </w:rPr>
        <w:drawing>
          <wp:inline distT="0" distB="0" distL="114300" distR="114300">
            <wp:extent cx="4733925" cy="2200910"/>
            <wp:effectExtent l="4445" t="5080" r="5080" b="22860"/>
            <wp:docPr id="180" name="_x0000_i216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w:t>
      </w:r>
    </w:p>
    <w:p>
      <w:pPr>
        <w:spacing w:line="600" w:lineRule="exact"/>
        <w:ind w:firstLine="640" w:firstLineChars="200"/>
        <w:outlineLvl w:val="1"/>
        <w:rPr>
          <w:rStyle w:val="31"/>
          <w:rFonts w:ascii="黑体" w:hAnsi="黑体" w:eastAsia="黑体"/>
          <w:b w:val="0"/>
        </w:rPr>
      </w:pPr>
      <w:bookmarkStart w:id="38" w:name="_Toc10769"/>
      <w:bookmarkStart w:id="39" w:name="_Toc15396607"/>
      <w:bookmarkStart w:id="40" w:name="_Toc15377209"/>
      <w:r>
        <w:rPr>
          <w:rFonts w:hint="eastAsia" w:ascii="黑体" w:hAnsi="黑体" w:eastAsia="黑体"/>
          <w:sz w:val="32"/>
          <w:szCs w:val="32"/>
        </w:rPr>
        <w:t>五、</w:t>
      </w:r>
      <w:r>
        <w:rPr>
          <w:rFonts w:hint="eastAsia" w:ascii="黑体" w:hAnsi="黑体" w:eastAsia="黑体"/>
          <w:b/>
          <w:sz w:val="32"/>
          <w:szCs w:val="32"/>
        </w:rPr>
        <w:t>一</w:t>
      </w:r>
      <w:r>
        <w:rPr>
          <w:rStyle w:val="31"/>
          <w:rFonts w:hint="eastAsia" w:ascii="黑体" w:hAnsi="黑体" w:eastAsia="黑体"/>
          <w:b w:val="0"/>
        </w:rPr>
        <w:t>般公共预算</w:t>
      </w:r>
      <w:r>
        <w:rPr>
          <w:rFonts w:hint="eastAsia" w:ascii="黑体" w:hAnsi="黑体" w:eastAsia="黑体"/>
        </w:rPr>
        <w:t>财政拨款支出决算情况说明</w:t>
      </w:r>
      <w:bookmarkEnd w:id="38"/>
      <w:bookmarkEnd w:id="39"/>
      <w:bookmarkEnd w:id="40"/>
    </w:p>
    <w:p>
      <w:pPr>
        <w:spacing w:line="600" w:lineRule="exact"/>
        <w:ind w:firstLine="643" w:firstLineChars="200"/>
        <w:outlineLvl w:val="2"/>
        <w:rPr>
          <w:rFonts w:ascii="仿宋" w:hAnsi="仿宋" w:eastAsia="仿宋"/>
          <w:b/>
          <w:sz w:val="32"/>
          <w:szCs w:val="32"/>
        </w:rPr>
      </w:pPr>
      <w:bookmarkStart w:id="41" w:name="_Toc15377210"/>
      <w:r>
        <w:rPr>
          <w:rFonts w:hint="eastAsia" w:ascii="仿宋" w:hAnsi="仿宋" w:eastAsia="仿宋"/>
          <w:b/>
          <w:sz w:val="32"/>
          <w:szCs w:val="32"/>
          <w:u w:val="thick" w:color="FFB03A"/>
          <w:shd w:val="clear" w:fill="FFEFD8"/>
        </w:rPr>
        <w:t>（一）</w:t>
      </w:r>
      <w:r>
        <w:rPr>
          <w:rFonts w:hint="eastAsia" w:ascii="仿宋" w:hAnsi="仿宋" w:eastAsia="仿宋"/>
          <w:b/>
          <w:sz w:val="32"/>
          <w:szCs w:val="32"/>
        </w:rPr>
        <w:t>一般公共预算财政拨款支出决算总体情况</w:t>
      </w:r>
      <w:bookmarkEnd w:id="41"/>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21年一般公共预算财政拨款支出345.28万元，占本年支出合计的100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20年相比，一般公共预算财政拨款支出增加20.19万元，增长6.2</w:t>
      </w:r>
      <w:r>
        <w:rPr>
          <w:rFonts w:ascii="仿宋" w:hAnsi="仿宋" w:eastAsia="仿宋"/>
          <w:sz w:val="32"/>
          <w:szCs w:val="32"/>
        </w:rPr>
        <w:t>%</w:t>
      </w:r>
      <w:r>
        <w:rPr>
          <w:rFonts w:hint="eastAsia" w:ascii="仿宋" w:hAnsi="仿宋" w:eastAsia="仿宋"/>
          <w:sz w:val="32"/>
          <w:szCs w:val="32"/>
        </w:rPr>
        <w:t>。主要变动原因是人员正常增资和项目资金。</w:t>
      </w:r>
    </w:p>
    <w:p>
      <w:pPr>
        <w:pStyle w:val="3"/>
        <w:spacing w:before="93"/>
        <w:rPr>
          <w:rFonts w:ascii="仿宋" w:hAnsi="仿宋" w:eastAsia="仿宋"/>
          <w:sz w:val="32"/>
          <w:szCs w:val="32"/>
        </w:rPr>
      </w:pPr>
      <w:r>
        <w:rPr>
          <w:rFonts w:hint="eastAsia" w:ascii="仿宋" w:hAnsi="仿宋" w:eastAsia="仿宋"/>
          <w:sz w:val="32"/>
          <w:szCs w:val="32"/>
        </w:rPr>
        <w:drawing>
          <wp:inline distT="0" distB="0" distL="114300" distR="114300">
            <wp:extent cx="4328160" cy="2477770"/>
            <wp:effectExtent l="4445" t="4445" r="10795" b="13335"/>
            <wp:docPr id="181" name="_x0000_i216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600" w:lineRule="exact"/>
        <w:ind w:firstLine="643" w:firstLineChars="200"/>
        <w:outlineLvl w:val="2"/>
        <w:rPr>
          <w:rFonts w:ascii="仿宋" w:hAnsi="仿宋" w:eastAsia="仿宋"/>
          <w:b/>
          <w:sz w:val="32"/>
          <w:szCs w:val="32"/>
        </w:rPr>
      </w:pPr>
      <w:bookmarkStart w:id="42" w:name="_Toc15377211"/>
      <w:r>
        <w:rPr>
          <w:rFonts w:hint="eastAsia" w:ascii="仿宋" w:hAnsi="仿宋" w:eastAsia="仿宋"/>
          <w:b/>
          <w:sz w:val="32"/>
          <w:szCs w:val="32"/>
        </w:rPr>
        <w:t>（二）一般公共预算财政拨款支出决算结构情况</w:t>
      </w:r>
      <w:bookmarkEnd w:id="42"/>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21年一般公共预算财政拨款支出345.28万元，主要用于以下方面</w:t>
      </w:r>
      <w:r>
        <w:t>：</w:t>
      </w:r>
      <w:r>
        <w:rPr>
          <w:rFonts w:hint="eastAsia" w:ascii="仿宋" w:hAnsi="仿宋" w:eastAsia="仿宋"/>
          <w:b/>
          <w:sz w:val="32"/>
          <w:szCs w:val="32"/>
        </w:rPr>
        <w:t>教育支出（类）281.22</w:t>
      </w:r>
      <w:r>
        <w:rPr>
          <w:rFonts w:hint="eastAsia" w:ascii="仿宋" w:hAnsi="仿宋" w:eastAsia="仿宋"/>
          <w:sz w:val="32"/>
          <w:szCs w:val="32"/>
        </w:rPr>
        <w:t>万元，占81.44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支出27.17万元，占7.86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16.01万元，占4.63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农林水支出</w:t>
      </w:r>
      <w:r>
        <w:rPr>
          <w:rFonts w:ascii="仿宋" w:hAnsi="仿宋" w:eastAsia="仿宋"/>
          <w:sz w:val="32"/>
          <w:szCs w:val="32"/>
        </w:rPr>
        <w:t>0</w:t>
      </w:r>
      <w:r>
        <w:rPr>
          <w:rFonts w:hint="eastAsia" w:ascii="仿宋" w:hAnsi="仿宋" w:eastAsia="仿宋"/>
          <w:sz w:val="32"/>
          <w:szCs w:val="32"/>
        </w:rPr>
        <w:t>.50万元，占0.1</w:t>
      </w:r>
      <w:r>
        <w:rPr>
          <w:rFonts w:ascii="仿宋" w:hAnsi="仿宋" w:eastAsia="仿宋"/>
          <w:sz w:val="32"/>
          <w:szCs w:val="32"/>
        </w:rPr>
        <w:t>4%</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rPr>
        <w:t>20.38万元，占比5.93</w:t>
      </w:r>
      <w:r>
        <w:rPr>
          <w:rFonts w:ascii="仿宋" w:hAnsi="仿宋" w:eastAsia="仿宋"/>
          <w:sz w:val="32"/>
          <w:szCs w:val="32"/>
        </w:rPr>
        <w:t>%</w:t>
      </w:r>
      <w:r>
        <w:rPr>
          <w:rFonts w:hint="eastAsia" w:ascii="仿宋" w:hAnsi="仿宋" w:eastAsia="仿宋"/>
          <w:sz w:val="32"/>
          <w:szCs w:val="32"/>
        </w:rPr>
        <w:t>。</w:t>
      </w:r>
    </w:p>
    <w:p>
      <w:pPr>
        <w:pStyle w:val="3"/>
        <w:spacing w:before="93"/>
        <w:rPr>
          <w:rFonts w:ascii="仿宋" w:hAnsi="仿宋" w:eastAsia="仿宋"/>
          <w:b/>
          <w:sz w:val="32"/>
          <w:szCs w:val="32"/>
        </w:rPr>
      </w:pPr>
      <w:r>
        <w:rPr>
          <w:rFonts w:hint="eastAsia" w:ascii="仿宋" w:hAnsi="仿宋" w:eastAsia="仿宋"/>
          <w:b/>
          <w:sz w:val="32"/>
          <w:szCs w:val="32"/>
        </w:rPr>
        <w:drawing>
          <wp:inline distT="0" distB="0" distL="114300" distR="114300">
            <wp:extent cx="4556760" cy="3039110"/>
            <wp:effectExtent l="4445" t="4445" r="10795" b="23495"/>
            <wp:docPr id="182" name="_x0000_i216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w:t>
      </w:r>
    </w:p>
    <w:p>
      <w:pPr>
        <w:spacing w:line="600" w:lineRule="exact"/>
        <w:ind w:firstLine="643" w:firstLineChars="200"/>
        <w:outlineLvl w:val="2"/>
        <w:rPr>
          <w:rFonts w:ascii="仿宋" w:hAnsi="仿宋" w:eastAsia="仿宋"/>
          <w:b/>
          <w:sz w:val="32"/>
          <w:szCs w:val="32"/>
        </w:rPr>
      </w:pPr>
      <w:bookmarkStart w:id="43" w:name="_Toc15377212"/>
      <w:r>
        <w:rPr>
          <w:rFonts w:hint="eastAsia" w:ascii="仿宋" w:hAnsi="仿宋" w:eastAsia="仿宋"/>
          <w:b/>
          <w:sz w:val="32"/>
          <w:szCs w:val="32"/>
        </w:rPr>
        <w:t>（三）一般公共预算财政拨款支出决算具体情况</w:t>
      </w:r>
      <w:bookmarkEnd w:id="43"/>
    </w:p>
    <w:p>
      <w:pPr>
        <w:spacing w:line="600" w:lineRule="exact"/>
        <w:ind w:firstLine="643" w:firstLineChars="200"/>
        <w:outlineLvl w:val="2"/>
        <w:rPr>
          <w:rFonts w:ascii="仿宋" w:hAnsi="仿宋" w:eastAsia="仿宋"/>
          <w:sz w:val="32"/>
          <w:szCs w:val="32"/>
        </w:rPr>
      </w:pPr>
      <w:bookmarkStart w:id="44" w:name="_Toc15377444"/>
      <w:bookmarkStart w:id="45" w:name="_Toc15377213"/>
      <w:bookmarkStart w:id="46" w:name="_Toc15378460"/>
      <w:r>
        <w:rPr>
          <w:rFonts w:hint="eastAsia" w:ascii="仿宋" w:hAnsi="仿宋" w:eastAsia="仿宋"/>
          <w:b/>
          <w:sz w:val="32"/>
          <w:szCs w:val="32"/>
        </w:rPr>
        <w:t>2021年一般公共预算支出决算数为345.28万元</w:t>
      </w:r>
      <w:r>
        <w:rPr>
          <w:rFonts w:hint="eastAsia" w:ascii="仿宋" w:hAnsi="仿宋" w:eastAsia="仿宋"/>
          <w:sz w:val="32"/>
          <w:szCs w:val="32"/>
        </w:rPr>
        <w:t>，</w:t>
      </w:r>
      <w:r>
        <w:rPr>
          <w:rStyle w:val="10"/>
          <w:rFonts w:hint="eastAsia" w:ascii="仿宋" w:hAnsi="仿宋" w:eastAsia="仿宋"/>
          <w:bCs/>
          <w:sz w:val="32"/>
          <w:szCs w:val="32"/>
        </w:rPr>
        <w:t>完成预算的</w:t>
      </w:r>
      <w:r>
        <w:rPr>
          <w:rFonts w:hint="eastAsia" w:ascii="仿宋" w:hAnsi="仿宋" w:eastAsia="仿宋"/>
          <w:bCs/>
          <w:sz w:val="32"/>
          <w:szCs w:val="32"/>
        </w:rPr>
        <w:t>100</w:t>
      </w:r>
      <w:r>
        <w:rPr>
          <w:rStyle w:val="10"/>
          <w:rFonts w:ascii="仿宋" w:hAnsi="仿宋" w:eastAsia="仿宋"/>
          <w:bCs/>
          <w:sz w:val="32"/>
          <w:szCs w:val="32"/>
        </w:rPr>
        <w:t>%</w:t>
      </w:r>
      <w:r>
        <w:rPr>
          <w:rStyle w:val="10"/>
          <w:rFonts w:hint="eastAsia" w:ascii="仿宋" w:hAnsi="仿宋" w:eastAsia="仿宋"/>
          <w:bCs/>
          <w:sz w:val="32"/>
          <w:szCs w:val="32"/>
        </w:rPr>
        <w:t>。其中：</w:t>
      </w:r>
      <w:bookmarkEnd w:id="44"/>
      <w:bookmarkEnd w:id="45"/>
      <w:bookmarkEnd w:id="46"/>
    </w:p>
    <w:p>
      <w:pPr>
        <w:spacing w:line="600" w:lineRule="exact"/>
        <w:ind w:firstLine="643" w:firstLineChars="200"/>
        <w:rPr>
          <w:rFonts w:ascii="仿宋" w:hAnsi="仿宋" w:eastAsia="仿宋"/>
          <w:b/>
          <w:sz w:val="32"/>
          <w:szCs w:val="32"/>
        </w:rPr>
      </w:pPr>
      <w:r>
        <w:rPr>
          <w:rStyle w:val="10"/>
          <w:rFonts w:hint="eastAsia" w:ascii="仿宋" w:hAnsi="仿宋" w:eastAsia="仿宋"/>
          <w:bCs/>
          <w:sz w:val="32"/>
          <w:szCs w:val="32"/>
        </w:rPr>
        <w:t>1</w:t>
      </w:r>
      <w:r>
        <w:rPr>
          <w:rStyle w:val="10"/>
          <w:rFonts w:ascii="仿宋" w:hAnsi="仿宋" w:eastAsia="仿宋"/>
          <w:bCs/>
          <w:sz w:val="32"/>
          <w:szCs w:val="32"/>
        </w:rPr>
        <w:t>.</w:t>
      </w:r>
      <w:r>
        <w:rPr>
          <w:rStyle w:val="10"/>
          <w:rFonts w:hint="eastAsia" w:ascii="仿宋" w:hAnsi="仿宋" w:eastAsia="仿宋"/>
          <w:bCs/>
          <w:sz w:val="32"/>
          <w:szCs w:val="32"/>
        </w:rPr>
        <w:t>教育（类）</w:t>
      </w:r>
      <w:r>
        <w:rPr>
          <w:rFonts w:hint="eastAsia" w:ascii="仿宋" w:hAnsi="仿宋" w:eastAsia="仿宋"/>
          <w:bCs/>
          <w:sz w:val="32"/>
          <w:szCs w:val="32"/>
        </w:rPr>
        <w:t>普通教育（款）小学教育（项）</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281.22万元，完成预算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0"/>
          <w:rFonts w:hint="eastAsia" w:ascii="仿宋" w:hAnsi="仿宋" w:eastAsia="仿宋"/>
          <w:bCs/>
          <w:sz w:val="32"/>
          <w:szCs w:val="32"/>
        </w:rPr>
        <w:t>2</w:t>
      </w:r>
      <w:r>
        <w:rPr>
          <w:rStyle w:val="10"/>
          <w:rFonts w:ascii="仿宋" w:hAnsi="仿宋" w:eastAsia="仿宋"/>
          <w:bCs/>
          <w:sz w:val="32"/>
          <w:szCs w:val="32"/>
        </w:rPr>
        <w:t>.</w:t>
      </w:r>
      <w:r>
        <w:rPr>
          <w:rStyle w:val="10"/>
          <w:rFonts w:hint="eastAsia" w:ascii="仿宋" w:hAnsi="仿宋" w:eastAsia="仿宋"/>
          <w:bCs/>
          <w:sz w:val="32"/>
          <w:szCs w:val="32"/>
        </w:rPr>
        <w:t>社会保障和就业（类）</w:t>
      </w:r>
      <w:r>
        <w:rPr>
          <w:rFonts w:hint="eastAsia" w:ascii="仿宋" w:hAnsi="仿宋" w:eastAsia="仿宋"/>
          <w:bCs/>
          <w:sz w:val="32"/>
          <w:szCs w:val="32"/>
        </w:rPr>
        <w:t>人力资源和社会保障管理事务（款）引进人才费用（项）</w:t>
      </w:r>
      <w:r>
        <w:rPr>
          <w:rStyle w:val="10"/>
          <w:rFonts w:ascii="仿宋" w:hAnsi="仿宋" w:eastAsia="仿宋"/>
          <w:bCs/>
          <w:sz w:val="32"/>
          <w:szCs w:val="32"/>
        </w:rPr>
        <w:t>:</w:t>
      </w:r>
      <w:r>
        <w:rPr>
          <w:rStyle w:val="10"/>
          <w:rFonts w:hint="eastAsia" w:ascii="仿宋" w:hAnsi="仿宋" w:eastAsia="仿宋"/>
          <w:bCs/>
          <w:sz w:val="32"/>
          <w:szCs w:val="32"/>
        </w:rPr>
        <w:t>行政事业养</w:t>
      </w:r>
      <w:r>
        <w:rPr>
          <w:rFonts w:hint="eastAsia" w:ascii="仿宋" w:hAnsi="仿宋" w:eastAsia="仿宋"/>
          <w:bCs/>
          <w:sz w:val="32"/>
          <w:szCs w:val="32"/>
        </w:rPr>
        <w:t>老支</w:t>
      </w:r>
      <w:r>
        <w:rPr>
          <w:rStyle w:val="10"/>
          <w:rFonts w:hint="eastAsia" w:ascii="仿宋" w:hAnsi="仿宋" w:eastAsia="仿宋"/>
          <w:bCs/>
          <w:sz w:val="32"/>
          <w:szCs w:val="32"/>
        </w:rPr>
        <w:t>出</w:t>
      </w:r>
      <w:r>
        <w:rPr>
          <w:rFonts w:hint="eastAsia" w:ascii="仿宋" w:hAnsi="仿宋" w:eastAsia="仿宋"/>
          <w:bCs/>
          <w:sz w:val="32"/>
          <w:szCs w:val="32"/>
        </w:rPr>
        <w:t>（款</w:t>
      </w:r>
      <w:r>
        <w:rPr>
          <w:rStyle w:val="10"/>
          <w:rFonts w:hint="eastAsia" w:ascii="仿宋" w:hAnsi="仿宋" w:eastAsia="仿宋"/>
          <w:bCs/>
          <w:sz w:val="32"/>
          <w:szCs w:val="32"/>
        </w:rPr>
        <w:t>）</w:t>
      </w:r>
      <w:r>
        <w:rPr>
          <w:rFonts w:hint="eastAsia" w:ascii="仿宋" w:hAnsi="仿宋" w:eastAsia="仿宋"/>
          <w:bCs/>
          <w:sz w:val="32"/>
          <w:szCs w:val="32"/>
        </w:rPr>
        <w:t>机关事业单位基本养老保险缴费支出（项）</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27.17万元，完成预算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0"/>
          <w:rFonts w:hint="eastAsia" w:ascii="仿宋" w:hAnsi="仿宋" w:eastAsia="仿宋"/>
          <w:bCs/>
          <w:sz w:val="32"/>
          <w:szCs w:val="32"/>
        </w:rPr>
        <w:t>3</w:t>
      </w:r>
      <w:r>
        <w:rPr>
          <w:rStyle w:val="10"/>
          <w:rFonts w:ascii="仿宋" w:hAnsi="仿宋" w:eastAsia="仿宋"/>
          <w:bCs/>
          <w:sz w:val="32"/>
          <w:szCs w:val="32"/>
        </w:rPr>
        <w:t>.</w:t>
      </w:r>
      <w:r>
        <w:rPr>
          <w:rFonts w:hint="eastAsia" w:ascii="仿宋" w:hAnsi="仿宋" w:eastAsia="仿宋"/>
          <w:b/>
          <w:bCs/>
          <w:sz w:val="32"/>
          <w:szCs w:val="32"/>
        </w:rPr>
        <w:t>卫生健康</w:t>
      </w:r>
      <w:r>
        <w:rPr>
          <w:rStyle w:val="10"/>
          <w:rFonts w:hint="eastAsia" w:ascii="仿宋" w:hAnsi="仿宋" w:eastAsia="仿宋"/>
          <w:bCs/>
          <w:sz w:val="32"/>
          <w:szCs w:val="32"/>
        </w:rPr>
        <w:t>（类）</w:t>
      </w:r>
      <w:r>
        <w:rPr>
          <w:rFonts w:hint="eastAsia" w:ascii="仿宋" w:hAnsi="仿宋" w:eastAsia="仿宋"/>
          <w:bCs/>
          <w:sz w:val="32"/>
          <w:szCs w:val="32"/>
        </w:rPr>
        <w:t>行政事业单位医疗（款）事业单位医疗</w:t>
      </w:r>
      <w:r>
        <w:rPr>
          <w:rFonts w:hint="eastAsia" w:ascii="仿宋" w:hAnsi="仿宋" w:eastAsia="仿宋"/>
          <w:sz w:val="32"/>
          <w:szCs w:val="32"/>
        </w:rPr>
        <w:t>（项）</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16.01万元，完成预算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spacing w:line="600" w:lineRule="exact"/>
        <w:ind w:firstLine="640" w:firstLineChars="200"/>
        <w:rPr>
          <w:rStyle w:val="10"/>
          <w:rFonts w:ascii="仿宋" w:hAnsi="仿宋" w:eastAsia="仿宋"/>
          <w:b w:val="0"/>
          <w:bCs/>
          <w:sz w:val="32"/>
          <w:szCs w:val="32"/>
        </w:rPr>
      </w:pPr>
      <w:r>
        <w:rPr>
          <w:rFonts w:hint="eastAsia" w:ascii="仿宋" w:hAnsi="仿宋" w:eastAsia="仿宋"/>
          <w:sz w:val="32"/>
          <w:szCs w:val="32"/>
        </w:rPr>
        <w:t>4.农林水支出（类）扶贫</w:t>
      </w:r>
      <w:r>
        <w:rPr>
          <w:rFonts w:hint="eastAsia" w:ascii="仿宋" w:hAnsi="仿宋" w:eastAsia="仿宋"/>
          <w:bCs/>
          <w:sz w:val="32"/>
          <w:szCs w:val="32"/>
        </w:rPr>
        <w:t>（款）</w:t>
      </w:r>
      <w:r>
        <w:rPr>
          <w:rFonts w:hint="eastAsia" w:ascii="仿宋" w:hAnsi="仿宋" w:eastAsia="仿宋"/>
          <w:sz w:val="32"/>
          <w:szCs w:val="32"/>
        </w:rPr>
        <w:t>其他扶贫支出（项）：支</w:t>
      </w:r>
      <w:r>
        <w:rPr>
          <w:rStyle w:val="10"/>
          <w:rFonts w:hint="eastAsia" w:ascii="仿宋" w:hAnsi="仿宋" w:eastAsia="仿宋"/>
          <w:b w:val="0"/>
          <w:bCs/>
          <w:sz w:val="32"/>
          <w:szCs w:val="32"/>
        </w:rPr>
        <w:t>出</w:t>
      </w:r>
      <w:r>
        <w:rPr>
          <w:rFonts w:hint="eastAsia" w:ascii="仿宋" w:hAnsi="仿宋" w:eastAsia="仿宋"/>
          <w:bCs/>
          <w:sz w:val="32"/>
          <w:szCs w:val="32"/>
        </w:rPr>
        <w:t>决算为</w:t>
      </w:r>
      <w:r>
        <w:rPr>
          <w:rStyle w:val="10"/>
          <w:rFonts w:ascii="仿宋" w:hAnsi="仿宋" w:eastAsia="仿宋"/>
          <w:b w:val="0"/>
          <w:bCs/>
          <w:sz w:val="32"/>
          <w:szCs w:val="32"/>
        </w:rPr>
        <w:t>0</w:t>
      </w:r>
      <w:r>
        <w:rPr>
          <w:rStyle w:val="10"/>
          <w:rFonts w:hint="eastAsia" w:ascii="仿宋" w:hAnsi="仿宋" w:eastAsia="仿宋"/>
          <w:b w:val="0"/>
          <w:bCs/>
          <w:sz w:val="32"/>
          <w:szCs w:val="32"/>
        </w:rPr>
        <w:t>.50万元，完成预算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spacing w:line="600" w:lineRule="exact"/>
        <w:ind w:firstLine="420" w:firstLineChars="200"/>
        <w:rPr>
          <w:rFonts w:ascii="仿宋" w:hAnsi="仿宋" w:eastAsia="仿宋"/>
          <w:b/>
          <w:sz w:val="32"/>
          <w:szCs w:val="32"/>
        </w:rPr>
      </w:pPr>
      <w:r>
        <w:rPr>
          <w:rFonts w:hint="eastAsia"/>
        </w:rPr>
        <w:t xml:space="preserve">   5</w:t>
      </w:r>
      <w:r>
        <w:rPr>
          <w:rFonts w:hint="eastAsia" w:ascii="仿宋" w:hAnsi="仿宋" w:eastAsia="仿宋"/>
          <w:sz w:val="32"/>
          <w:szCs w:val="32"/>
        </w:rPr>
        <w:t>.住房保障支出</w:t>
      </w:r>
      <w:r>
        <w:rPr>
          <w:rFonts w:hint="eastAsia" w:ascii="仿宋" w:hAnsi="仿宋" w:eastAsia="仿宋"/>
          <w:sz w:val="32"/>
          <w:szCs w:val="32"/>
          <w:u w:val="none" w:color="909090"/>
          <w:shd w:val="clear" w:fill="auto"/>
        </w:rPr>
        <w:t>（</w:t>
      </w:r>
      <w:r>
        <w:rPr>
          <w:rFonts w:hint="eastAsia" w:ascii="仿宋" w:hAnsi="仿宋" w:eastAsia="仿宋"/>
          <w:sz w:val="32"/>
          <w:szCs w:val="32"/>
        </w:rPr>
        <w:t>类）住房改革支出</w:t>
      </w:r>
      <w:r>
        <w:rPr>
          <w:rFonts w:hint="eastAsia" w:ascii="仿宋" w:hAnsi="仿宋" w:eastAsia="仿宋"/>
          <w:bCs/>
          <w:sz w:val="32"/>
          <w:szCs w:val="32"/>
        </w:rPr>
        <w:t>（款）</w:t>
      </w:r>
      <w:r>
        <w:rPr>
          <w:rFonts w:hint="eastAsia" w:ascii="仿宋" w:hAnsi="仿宋" w:eastAsia="仿宋"/>
          <w:sz w:val="32"/>
          <w:szCs w:val="32"/>
        </w:rPr>
        <w:t>住房公积金（项）：支</w:t>
      </w:r>
      <w:r>
        <w:rPr>
          <w:rStyle w:val="10"/>
          <w:rFonts w:hint="eastAsia" w:ascii="仿宋" w:hAnsi="仿宋" w:eastAsia="仿宋"/>
          <w:b w:val="0"/>
          <w:bCs/>
          <w:sz w:val="32"/>
          <w:szCs w:val="32"/>
        </w:rPr>
        <w:t>出</w:t>
      </w:r>
      <w:r>
        <w:rPr>
          <w:rFonts w:hint="eastAsia" w:ascii="仿宋" w:hAnsi="仿宋" w:eastAsia="仿宋"/>
          <w:bCs/>
          <w:sz w:val="32"/>
          <w:szCs w:val="32"/>
        </w:rPr>
        <w:t>决算为</w:t>
      </w:r>
      <w:r>
        <w:rPr>
          <w:rStyle w:val="10"/>
          <w:rFonts w:hint="eastAsia" w:ascii="仿宋" w:hAnsi="仿宋" w:eastAsia="仿宋"/>
          <w:b w:val="0"/>
          <w:bCs/>
          <w:sz w:val="32"/>
          <w:szCs w:val="32"/>
        </w:rPr>
        <w:t>20.38万元，完成预算的</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r>
        <w:commentReference w:id="0"/>
      </w:r>
    </w:p>
    <w:p>
      <w:pPr>
        <w:tabs>
          <w:tab w:val="right" w:pos="8306"/>
        </w:tabs>
        <w:spacing w:line="600" w:lineRule="exact"/>
        <w:ind w:firstLine="640"/>
        <w:outlineLvl w:val="1"/>
        <w:rPr>
          <w:rStyle w:val="31"/>
        </w:rPr>
      </w:pPr>
      <w:bookmarkStart w:id="47" w:name="_Toc8402"/>
      <w:bookmarkStart w:id="48" w:name="_Toc15396608"/>
      <w:bookmarkStart w:id="49"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1"/>
          <w:rFonts w:hint="eastAsia" w:ascii="黑体" w:hAnsi="黑体" w:eastAsia="黑体"/>
          <w:b w:val="0"/>
        </w:rPr>
        <w:t>般公共预算</w:t>
      </w:r>
      <w:r>
        <w:rPr>
          <w:rFonts w:hint="eastAsia" w:ascii="黑体" w:hAnsi="黑体" w:eastAsia="黑体"/>
          <w:sz w:val="32"/>
          <w:szCs w:val="32"/>
        </w:rPr>
        <w:t>财政拨款基本支出决算情况说明</w:t>
      </w:r>
      <w:bookmarkEnd w:id="47"/>
      <w:bookmarkEnd w:id="48"/>
      <w:bookmarkEnd w:id="49"/>
      <w:r>
        <w:rPr>
          <w:rStyle w:val="31"/>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21年一般公共预算财政拨款基本支出315.08万元，其中：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288.45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p>
    <w:p>
      <w:pPr>
        <w:spacing w:line="600" w:lineRule="exact"/>
        <w:ind w:firstLine="645"/>
        <w:rPr>
          <w:rFonts w:ascii="仿宋" w:hAnsi="仿宋" w:eastAsia="仿宋"/>
          <w:b/>
          <w:sz w:val="32"/>
          <w:szCs w:val="32"/>
        </w:rPr>
      </w:pPr>
      <w:r>
        <w:rPr>
          <w:rFonts w:hint="eastAsia" w:ascii="仿宋" w:hAnsi="仿宋" w:eastAsia="仿宋"/>
          <w:sz w:val="32"/>
          <w:szCs w:val="32"/>
        </w:rPr>
        <w:t>公用经费26.63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服务费等。</w:t>
      </w:r>
    </w:p>
    <w:p>
      <w:pPr>
        <w:spacing w:line="600" w:lineRule="exact"/>
        <w:ind w:firstLine="640"/>
        <w:outlineLvl w:val="1"/>
        <w:rPr>
          <w:rStyle w:val="31"/>
          <w:rFonts w:ascii="黑体" w:hAnsi="黑体" w:eastAsia="黑体"/>
          <w:b w:val="0"/>
          <w:sz w:val="30"/>
          <w:szCs w:val="30"/>
        </w:rPr>
      </w:pPr>
      <w:bookmarkStart w:id="50" w:name="_Toc15377215"/>
      <w:bookmarkStart w:id="51" w:name="_Toc15396609"/>
      <w:bookmarkStart w:id="52" w:name="_Toc22463"/>
      <w:r>
        <w:rPr>
          <w:rFonts w:hint="eastAsia" w:ascii="黑体" w:eastAsia="黑体"/>
          <w:sz w:val="32"/>
          <w:szCs w:val="32"/>
        </w:rPr>
        <w:t>七、</w:t>
      </w:r>
      <w:r>
        <w:rPr>
          <w:rStyle w:val="31"/>
          <w:rFonts w:hint="eastAsia" w:ascii="黑体" w:hAnsi="黑体" w:eastAsia="黑体"/>
        </w:rPr>
        <w:t>“</w:t>
      </w:r>
      <w:r>
        <w:rPr>
          <w:rStyle w:val="31"/>
          <w:rFonts w:hint="eastAsia" w:ascii="黑体" w:hAnsi="黑体" w:eastAsia="黑体"/>
          <w:b w:val="0"/>
        </w:rPr>
        <w:t>三公”经</w:t>
      </w:r>
      <w:r>
        <w:rPr>
          <w:rStyle w:val="31"/>
          <w:rFonts w:hint="eastAsia" w:ascii="黑体" w:hAnsi="黑体" w:eastAsia="黑体"/>
          <w:b w:val="0"/>
          <w:sz w:val="30"/>
          <w:szCs w:val="30"/>
        </w:rPr>
        <w:t>费</w:t>
      </w:r>
      <w:r>
        <w:rPr>
          <w:rFonts w:hint="eastAsia" w:ascii="黑体" w:hAnsi="黑体" w:eastAsia="黑体"/>
          <w:sz w:val="30"/>
          <w:szCs w:val="30"/>
        </w:rPr>
        <w:t>财政拨款支</w:t>
      </w:r>
      <w:r>
        <w:rPr>
          <w:rStyle w:val="31"/>
          <w:rFonts w:hint="eastAsia" w:ascii="黑体" w:hAnsi="黑体" w:eastAsia="黑体"/>
          <w:b w:val="0"/>
          <w:sz w:val="30"/>
          <w:szCs w:val="30"/>
        </w:rPr>
        <w:t>出</w:t>
      </w:r>
      <w:r>
        <w:rPr>
          <w:rFonts w:hint="eastAsia" w:ascii="黑体" w:hAnsi="黑体" w:eastAsia="黑体"/>
          <w:sz w:val="30"/>
          <w:szCs w:val="30"/>
        </w:rPr>
        <w:t>决算情况说明</w:t>
      </w:r>
      <w:bookmarkEnd w:id="50"/>
      <w:bookmarkEnd w:id="51"/>
      <w:bookmarkEnd w:id="52"/>
    </w:p>
    <w:p>
      <w:pPr>
        <w:spacing w:line="600" w:lineRule="exact"/>
        <w:ind w:firstLine="640"/>
        <w:outlineLvl w:val="2"/>
        <w:rPr>
          <w:rFonts w:ascii="仿宋" w:hAnsi="仿宋" w:eastAsia="仿宋"/>
          <w:b/>
          <w:sz w:val="32"/>
          <w:szCs w:val="32"/>
        </w:rPr>
      </w:pPr>
      <w:bookmarkStart w:id="53" w:name="_Toc15377216"/>
      <w:r>
        <w:rPr>
          <w:rFonts w:hint="eastAsia" w:ascii="仿宋" w:hAnsi="仿宋" w:eastAsia="仿宋"/>
          <w:b/>
          <w:sz w:val="32"/>
          <w:szCs w:val="32"/>
        </w:rPr>
        <w:t>（一）“三公”经费财政拨款支出决算总体情况说明</w:t>
      </w:r>
      <w:bookmarkEnd w:id="53"/>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w:t>
      </w:r>
      <w:r>
        <w:rPr>
          <w:rFonts w:ascii="仿宋" w:hAnsi="仿宋" w:eastAsia="仿宋"/>
          <w:sz w:val="32"/>
          <w:szCs w:val="32"/>
        </w:rPr>
        <w:t>0</w:t>
      </w: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万元，完成预算的100</w:t>
      </w:r>
      <w:r>
        <w:rPr>
          <w:rFonts w:ascii="仿宋" w:hAnsi="仿宋" w:eastAsia="仿宋"/>
          <w:sz w:val="32"/>
          <w:szCs w:val="32"/>
        </w:rPr>
        <w:t>%</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54" w:name="_Toc15377217"/>
      <w:r>
        <w:rPr>
          <w:rFonts w:hint="eastAsia" w:ascii="仿宋" w:hAnsi="仿宋" w:eastAsia="仿宋"/>
          <w:b/>
          <w:sz w:val="32"/>
          <w:szCs w:val="32"/>
        </w:rPr>
        <w:t>（二）“三公”经费财政拨款支出决算具体情况说明</w:t>
      </w:r>
      <w:bookmarkEnd w:id="54"/>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21年“三公”经费财政拨款支出决算中，因公出国（境）费支出决算0万元；公务用车购置及运行维护费支出决算0万元；公务接待费支出决算</w:t>
      </w:r>
      <w:r>
        <w:rPr>
          <w:rFonts w:ascii="仿宋" w:hAnsi="仿宋" w:eastAsia="仿宋"/>
          <w:sz w:val="32"/>
          <w:szCs w:val="32"/>
        </w:rPr>
        <w:t>0</w:t>
      </w: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万元，占比100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3" w:firstLineChars="200"/>
        <w:rPr>
          <w:rFonts w:ascii="仿宋_GB2312" w:eastAsia="仿宋_GB2312"/>
          <w:b/>
          <w:sz w:val="32"/>
          <w:szCs w:val="32"/>
        </w:rPr>
      </w:pPr>
      <w:bookmarkStart w:id="110" w:name="_GoBack"/>
      <w:bookmarkEnd w:id="110"/>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0万元。</w:t>
      </w:r>
    </w:p>
    <w:p>
      <w:pPr>
        <w:numPr>
          <w:ilvl w:val="0"/>
          <w:numId w:val="3"/>
        </w:numPr>
        <w:spacing w:line="600" w:lineRule="exact"/>
        <w:ind w:firstLine="640"/>
        <w:rPr>
          <w:rFonts w:ascii="仿宋_GB2312" w:eastAsia="仿宋_GB2312"/>
          <w:sz w:val="32"/>
          <w:szCs w:val="32"/>
        </w:rPr>
      </w:pPr>
      <w:r>
        <w:rPr>
          <w:rFonts w:hint="eastAsia" w:ascii="仿宋_GB2312" w:eastAsia="仿宋_GB2312"/>
          <w:b/>
          <w:sz w:val="32"/>
          <w:szCs w:val="32"/>
        </w:rPr>
        <w:t>公务接待费支出</w:t>
      </w:r>
      <w:r>
        <w:rPr>
          <w:rFonts w:ascii="仿宋_GB2312" w:eastAsia="仿宋_GB2312"/>
          <w:sz w:val="32"/>
          <w:szCs w:val="32"/>
        </w:rPr>
        <w:t>0</w:t>
      </w: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万元，</w:t>
      </w:r>
      <w:r>
        <w:rPr>
          <w:rStyle w:val="10"/>
          <w:rFonts w:hint="eastAsia" w:ascii="仿宋" w:hAnsi="仿宋" w:eastAsia="仿宋"/>
          <w:b w:val="0"/>
          <w:bCs/>
          <w:sz w:val="32"/>
          <w:szCs w:val="32"/>
        </w:rPr>
        <w:t>完成预算的</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20年持平。其中：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ascii="仿宋" w:hAnsi="仿宋" w:eastAsia="仿宋"/>
          <w:sz w:val="32"/>
          <w:szCs w:val="32"/>
        </w:rPr>
        <w:t>0</w:t>
      </w:r>
      <w:r>
        <w:rPr>
          <w:rFonts w:hint="eastAsia" w:ascii="仿宋" w:hAnsi="仿宋" w:eastAsia="仿宋"/>
          <w:sz w:val="32"/>
          <w:szCs w:val="32"/>
        </w:rPr>
        <w:t>.</w:t>
      </w:r>
      <w:r>
        <w:rPr>
          <w:rFonts w:ascii="仿宋" w:hAnsi="仿宋" w:eastAsia="仿宋"/>
          <w:sz w:val="32"/>
          <w:szCs w:val="32"/>
        </w:rPr>
        <w:t>2</w:t>
      </w:r>
      <w:r>
        <w:rPr>
          <w:rFonts w:hint="eastAsia" w:ascii="仿宋_GB2312" w:eastAsia="仿宋_GB2312"/>
          <w:sz w:val="32"/>
          <w:szCs w:val="32"/>
        </w:rPr>
        <w:t>万元，主要用于开展业务活动开支的交通费、住宿费、用餐费等。国内公务接待6批次，29人次（不包括陪同人员），共计支出</w:t>
      </w:r>
      <w:r>
        <w:rPr>
          <w:rFonts w:ascii="仿宋_GB2312" w:eastAsia="仿宋_GB2312"/>
          <w:sz w:val="32"/>
          <w:szCs w:val="32"/>
        </w:rPr>
        <w:t>0</w:t>
      </w: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万元。</w:t>
      </w: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w:t>
      </w:r>
      <w:bookmarkStart w:id="55" w:name="_Toc15396610"/>
      <w:bookmarkStart w:id="56" w:name="_Toc15377218"/>
    </w:p>
    <w:p>
      <w:pPr>
        <w:spacing w:line="600" w:lineRule="exact"/>
        <w:ind w:firstLine="640"/>
        <w:outlineLvl w:val="1"/>
        <w:rPr>
          <w:rStyle w:val="31"/>
          <w:rFonts w:ascii="黑体" w:hAnsi="黑体" w:eastAsia="黑体"/>
        </w:rPr>
      </w:pPr>
      <w:bookmarkStart w:id="57" w:name="_Toc27286"/>
      <w:r>
        <w:rPr>
          <w:rFonts w:hint="eastAsia" w:ascii="黑体" w:eastAsia="黑体"/>
          <w:sz w:val="32"/>
          <w:szCs w:val="32"/>
        </w:rPr>
        <w:t>八、</w:t>
      </w:r>
      <w:r>
        <w:rPr>
          <w:rStyle w:val="31"/>
          <w:rFonts w:hint="eastAsia" w:ascii="黑体" w:hAnsi="黑体" w:eastAsia="黑体"/>
          <w:b w:val="0"/>
        </w:rPr>
        <w:t>政府性基金预算</w:t>
      </w:r>
      <w:r>
        <w:rPr>
          <w:rFonts w:hint="eastAsia" w:ascii="黑体" w:hAnsi="黑体" w:eastAsia="黑体"/>
        </w:rPr>
        <w:t>支出决算情况说明</w:t>
      </w:r>
      <w:bookmarkEnd w:id="55"/>
      <w:bookmarkEnd w:id="56"/>
      <w:bookmarkEnd w:id="57"/>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21年政府性基金预算财政拨款支出0万元。</w:t>
      </w:r>
    </w:p>
    <w:p>
      <w:pPr>
        <w:numPr>
          <w:ilvl w:val="0"/>
          <w:numId w:val="4"/>
        </w:numPr>
        <w:spacing w:line="600" w:lineRule="exact"/>
        <w:ind w:firstLine="640"/>
        <w:outlineLvl w:val="1"/>
        <w:rPr>
          <w:rStyle w:val="31"/>
          <w:rFonts w:ascii="黑体" w:hAnsi="黑体" w:eastAsia="黑体"/>
          <w:b w:val="0"/>
        </w:rPr>
      </w:pPr>
      <w:bookmarkStart w:id="58" w:name="_Toc15377219"/>
      <w:bookmarkStart w:id="59" w:name="_Toc12199"/>
      <w:bookmarkStart w:id="60" w:name="_Toc15396611"/>
      <w:r>
        <w:rPr>
          <w:rStyle w:val="31"/>
          <w:rFonts w:hint="eastAsia" w:ascii="黑体" w:hAnsi="黑体" w:eastAsia="黑体"/>
          <w:b w:val="0"/>
        </w:rPr>
        <w:t>国有资本经营预算</w:t>
      </w:r>
      <w:r>
        <w:rPr>
          <w:rFonts w:hint="eastAsia" w:ascii="黑体" w:hAnsi="黑体" w:eastAsia="黑体"/>
        </w:rPr>
        <w:t>支出决算情况说明</w:t>
      </w:r>
      <w:bookmarkEnd w:id="58"/>
      <w:bookmarkEnd w:id="59"/>
      <w:bookmarkEnd w:id="60"/>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numPr>
          <w:ilvl w:val="0"/>
          <w:numId w:val="4"/>
        </w:numPr>
        <w:spacing w:line="600" w:lineRule="exact"/>
        <w:ind w:firstLine="640"/>
        <w:outlineLvl w:val="1"/>
        <w:rPr>
          <w:rStyle w:val="31"/>
          <w:rFonts w:ascii="黑体" w:hAnsi="黑体" w:eastAsia="黑体"/>
          <w:b w:val="0"/>
        </w:rPr>
      </w:pPr>
      <w:bookmarkStart w:id="61" w:name="_Toc15396612"/>
      <w:bookmarkStart w:id="62" w:name="_Toc15377221"/>
      <w:bookmarkStart w:id="63" w:name="_Toc14949"/>
      <w:r>
        <w:rPr>
          <w:rStyle w:val="31"/>
          <w:rFonts w:hint="eastAsia" w:ascii="黑体" w:hAnsi="黑体" w:eastAsia="黑体"/>
          <w:b w:val="0"/>
        </w:rPr>
        <w:t>其他重要事项的情况说明</w:t>
      </w:r>
      <w:bookmarkEnd w:id="61"/>
      <w:bookmarkEnd w:id="62"/>
      <w:bookmarkEnd w:id="63"/>
    </w:p>
    <w:p>
      <w:pPr>
        <w:spacing w:line="600" w:lineRule="exact"/>
        <w:ind w:firstLine="643" w:firstLineChars="200"/>
        <w:outlineLvl w:val="2"/>
        <w:rPr>
          <w:rFonts w:ascii="仿宋" w:hAnsi="仿宋" w:eastAsia="仿宋"/>
          <w:sz w:val="32"/>
          <w:szCs w:val="32"/>
        </w:rPr>
      </w:pPr>
      <w:bookmarkStart w:id="64" w:name="_Toc15377222"/>
      <w:r>
        <w:rPr>
          <w:rFonts w:hint="eastAsia" w:ascii="仿宋" w:hAnsi="仿宋" w:eastAsia="仿宋"/>
          <w:b/>
          <w:sz w:val="32"/>
          <w:szCs w:val="32"/>
        </w:rPr>
        <w:t>（一）机关运行经费支出情况</w:t>
      </w:r>
      <w:bookmarkEnd w:id="64"/>
    </w:p>
    <w:p>
      <w:pPr>
        <w:spacing w:line="600" w:lineRule="exact"/>
        <w:ind w:firstLine="640" w:firstLineChars="200"/>
        <w:rPr>
          <w:rFonts w:ascii="仿宋" w:hAnsi="仿宋" w:eastAsia="仿宋_GB2312"/>
          <w:b/>
          <w:sz w:val="32"/>
          <w:szCs w:val="32"/>
        </w:rPr>
      </w:pPr>
      <w:r>
        <w:rPr>
          <w:rFonts w:ascii="仿宋_GB2312" w:eastAsia="仿宋_GB2312"/>
          <w:sz w:val="32"/>
          <w:szCs w:val="32"/>
        </w:rPr>
        <w:t>20</w:t>
      </w:r>
      <w:r>
        <w:rPr>
          <w:rFonts w:hint="eastAsia" w:ascii="仿宋_GB2312" w:eastAsia="仿宋_GB2312"/>
          <w:sz w:val="32"/>
          <w:szCs w:val="32"/>
        </w:rPr>
        <w:t>21年，通江县长坪镇新文小学机关运行经费支出0万元。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65" w:name="_Toc15377223"/>
      <w:r>
        <w:rPr>
          <w:rFonts w:hint="eastAsia" w:ascii="仿宋" w:hAnsi="仿宋" w:eastAsia="仿宋"/>
          <w:b/>
          <w:sz w:val="32"/>
          <w:szCs w:val="32"/>
        </w:rPr>
        <w:t>（二）政府采购支出情况</w:t>
      </w:r>
      <w:bookmarkEnd w:id="65"/>
    </w:p>
    <w:p>
      <w:pPr>
        <w:spacing w:line="600" w:lineRule="exact"/>
        <w:ind w:firstLine="640" w:firstLineChars="200"/>
        <w:rPr>
          <w:rFonts w:ascii="仿宋" w:hAnsi="仿宋" w:eastAsia="仿宋"/>
          <w:b/>
          <w:sz w:val="32"/>
          <w:szCs w:val="32"/>
        </w:rPr>
      </w:pPr>
      <w:r>
        <w:rPr>
          <w:rFonts w:ascii="仿宋_GB2312" w:eastAsia="仿宋_GB2312"/>
          <w:sz w:val="32"/>
          <w:szCs w:val="32"/>
        </w:rPr>
        <w:t>20</w:t>
      </w:r>
      <w:r>
        <w:rPr>
          <w:rFonts w:hint="eastAsia" w:ascii="仿宋_GB2312" w:eastAsia="仿宋_GB2312"/>
          <w:sz w:val="32"/>
          <w:szCs w:val="32"/>
        </w:rPr>
        <w:t>21年，通江县长坪镇新文小学政府采购支出总额0万元。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66" w:name="_Toc15377224"/>
      <w:r>
        <w:rPr>
          <w:rFonts w:hint="eastAsia" w:ascii="仿宋" w:hAnsi="仿宋" w:eastAsia="仿宋"/>
          <w:b/>
          <w:sz w:val="32"/>
          <w:szCs w:val="32"/>
        </w:rPr>
        <w:t>（三）国有资产占有使用情况</w:t>
      </w:r>
      <w:bookmarkEnd w:id="66"/>
    </w:p>
    <w:p>
      <w:pPr>
        <w:autoSpaceDE w:val="0"/>
        <w:autoSpaceDN w:val="0"/>
        <w:adjustRightInd w:val="0"/>
        <w:spacing w:line="600" w:lineRule="exact"/>
        <w:ind w:firstLine="640" w:firstLineChars="200"/>
        <w:jc w:val="left"/>
        <w:rPr>
          <w:rFonts w:ascii="仿宋" w:hAnsi="仿宋" w:eastAsia="仿宋"/>
          <w:b/>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日，通江县长坪镇新文小学共有车辆0辆。单价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u w:val="thick" w:color="909090"/>
          <w:shd w:val="clear" w:fill="DDDDDD"/>
        </w:rPr>
        <w:t>根据预算绩效管理要求，本单位在2021年度预算编制阶段，组织对免作业本费项目、义教奖补项目、义教生活补助项目、公用经费项目、学前教育“三儿”资金、学生营养餐资金、驻村人员差旅费补助、2021年教育强国推进计划项目10个项目开展了预算事前绩效评估，</w:t>
      </w:r>
      <w:r>
        <w:rPr>
          <w:rFonts w:hint="eastAsia" w:ascii="仿宋_GB2312" w:hAnsi="仿宋_GB2312" w:eastAsia="仿宋_GB2312" w:cs="仿宋_GB2312"/>
          <w:sz w:val="32"/>
          <w:szCs w:val="32"/>
        </w:rPr>
        <w:t>对10个项目编制了绩效目标，预算执行过程中，选取9个项目开展绩效监控，年终执行完毕后，对10个项目开展了绩效自评，2021年特定目标类部门预算项目绩效目标自评表见附件（第四部分）。</w:t>
      </w:r>
    </w:p>
    <w:p>
      <w:pPr>
        <w:pStyle w:val="3"/>
        <w:spacing w:before="93"/>
      </w:pPr>
    </w:p>
    <w:p>
      <w:pPr>
        <w:numPr>
          <w:ilvl w:val="0"/>
          <w:numId w:val="5"/>
        </w:numPr>
        <w:spacing w:line="600" w:lineRule="exact"/>
        <w:ind w:firstLine="660" w:firstLineChars="150"/>
        <w:jc w:val="center"/>
        <w:outlineLvl w:val="0"/>
        <w:rPr>
          <w:rStyle w:val="30"/>
          <w:rFonts w:ascii="黑体" w:hAnsi="黑体" w:eastAsia="黑体"/>
          <w:b w:val="0"/>
        </w:rPr>
      </w:pPr>
      <w:bookmarkStart w:id="67" w:name="_Toc21575"/>
      <w:bookmarkStart w:id="68" w:name="_Toc15377225"/>
      <w:bookmarkStart w:id="69" w:name="_Toc15396613"/>
      <w:r>
        <w:rPr>
          <w:rFonts w:hint="eastAsia" w:ascii="黑体" w:hAnsi="黑体" w:eastAsia="黑体"/>
          <w:sz w:val="44"/>
          <w:szCs w:val="44"/>
        </w:rPr>
        <w:t>名</w:t>
      </w:r>
      <w:r>
        <w:rPr>
          <w:rStyle w:val="30"/>
          <w:rFonts w:hint="eastAsia" w:ascii="黑体" w:hAnsi="黑体" w:eastAsia="黑体"/>
          <w:b w:val="0"/>
        </w:rPr>
        <w:t>词解释</w:t>
      </w:r>
      <w:bookmarkEnd w:id="67"/>
      <w:bookmarkEnd w:id="68"/>
      <w:bookmarkEnd w:id="69"/>
    </w:p>
    <w:p>
      <w:pPr>
        <w:spacing w:line="600" w:lineRule="exact"/>
        <w:jc w:val="left"/>
        <w:rPr>
          <w:rFonts w:ascii="宋体"/>
          <w:b/>
          <w:sz w:val="44"/>
          <w:szCs w:val="44"/>
        </w:rPr>
      </w:pP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w:t>
      </w:r>
      <w:r>
        <w:rPr>
          <w:rFonts w:hint="eastAsia" w:ascii="仿宋_GB2312" w:eastAsia="仿宋_GB2312"/>
          <w:color w:val="auto"/>
          <w:sz w:val="32"/>
          <w:szCs w:val="32"/>
          <w:u w:val="none" w:color="46CD7E"/>
          <w:shd w:val="clear" w:fill="auto"/>
          <w:lang w:eastAsia="zh-CN"/>
        </w:rPr>
        <w:t>本年度</w:t>
      </w:r>
      <w:r>
        <w:rPr>
          <w:rFonts w:hint="eastAsia" w:ascii="仿宋_GB2312" w:eastAsia="仿宋_GB2312"/>
          <w:color w:val="auto"/>
          <w:sz w:val="32"/>
          <w:szCs w:val="32"/>
        </w:rPr>
        <w:t>有关规定继续使用的资金。</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u w:val="none" w:color="46CD7E"/>
          <w:shd w:val="clear" w:fill="auto"/>
          <w:lang w:eastAsia="zh-CN"/>
        </w:rPr>
        <w:t>.</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sz w:val="32"/>
          <w:szCs w:val="32"/>
        </w:rPr>
      </w:pPr>
      <w:r>
        <w:rPr>
          <w:rFonts w:hint="eastAsia" w:ascii="仿宋_GB2312" w:eastAsia="仿宋_GB2312"/>
          <w:sz w:val="32"/>
          <w:szCs w:val="32"/>
          <w:u w:val="none" w:color="FFB03A"/>
          <w:shd w:val="clear" w:fill="auto"/>
        </w:rPr>
        <w:t>9</w:t>
      </w:r>
      <w:r>
        <w:rPr>
          <w:rFonts w:ascii="仿宋_GB2312" w:eastAsia="仿宋_GB2312"/>
          <w:sz w:val="32"/>
          <w:szCs w:val="32"/>
          <w:u w:val="none" w:color="FFB03A"/>
          <w:shd w:val="clear" w:fill="auto"/>
        </w:rPr>
        <w:t>.</w:t>
      </w:r>
      <w:r>
        <w:rPr>
          <w:rFonts w:hint="eastAsia" w:ascii="仿宋_GB2312" w:eastAsia="仿宋_GB2312"/>
          <w:sz w:val="32"/>
          <w:szCs w:val="32"/>
        </w:rPr>
        <w:t>教育（类）普通教育（款）小学教育（项）：指反映各部门举办的小学教育支出。</w:t>
      </w:r>
    </w:p>
    <w:p>
      <w:pPr>
        <w:ind w:firstLine="640" w:firstLineChars="200"/>
        <w:rPr>
          <w:rFonts w:ascii="仿宋_GB2312" w:eastAsia="仿宋_GB2312"/>
          <w:sz w:val="32"/>
          <w:szCs w:val="32"/>
        </w:rPr>
      </w:pPr>
      <w:r>
        <w:rPr>
          <w:rFonts w:hint="eastAsia" w:ascii="仿宋_GB2312" w:eastAsia="仿宋_GB2312"/>
          <w:sz w:val="32"/>
          <w:szCs w:val="32"/>
        </w:rPr>
        <w:t>10</w:t>
      </w:r>
      <w:r>
        <w:rPr>
          <w:rFonts w:ascii="仿宋_GB2312" w:eastAsia="仿宋_GB2312"/>
          <w:sz w:val="32"/>
          <w:szCs w:val="32"/>
        </w:rPr>
        <w:t>.</w:t>
      </w:r>
      <w:r>
        <w:rPr>
          <w:rFonts w:hint="eastAsia" w:ascii="仿宋_GB2312" w:eastAsia="仿宋_GB2312"/>
          <w:sz w:val="32"/>
          <w:szCs w:val="32"/>
        </w:rPr>
        <w:t>社会保障和就业（类）人力资源和社会保障管理事务（款）引进人才费用（项）：指反映用于引进外国专家补助、引智成果推广等方面支出。</w:t>
      </w:r>
    </w:p>
    <w:p>
      <w:pPr>
        <w:ind w:firstLine="640" w:firstLineChars="200"/>
        <w:rPr>
          <w:rFonts w:ascii="仿宋_GB2312" w:eastAsia="仿宋_GB2312"/>
          <w:sz w:val="32"/>
          <w:szCs w:val="32"/>
        </w:rPr>
      </w:pPr>
      <w:r>
        <w:rPr>
          <w:rFonts w:hint="eastAsia" w:ascii="仿宋_GB2312" w:eastAsia="仿宋_GB2312"/>
          <w:sz w:val="32"/>
          <w:szCs w:val="32"/>
        </w:rPr>
        <w:t>11</w:t>
      </w:r>
      <w:r>
        <w:rPr>
          <w:rFonts w:ascii="仿宋_GB2312" w:eastAsia="仿宋_GB2312"/>
          <w:sz w:val="32"/>
          <w:szCs w:val="32"/>
        </w:rPr>
        <w:t>.</w:t>
      </w:r>
      <w:r>
        <w:rPr>
          <w:rFonts w:hint="eastAsia" w:ascii="仿宋_GB2312" w:eastAsia="仿宋_GB2312"/>
          <w:sz w:val="32"/>
          <w:szCs w:val="32"/>
        </w:rPr>
        <w:t>社会保障和就业（类）行政事业单位养老支出（款）机关事业单位基本养老保险缴费支出（项）：指反映机关事业单位实施养老保险制度由单位缴纳的基本养老保险费支出。</w:t>
      </w:r>
    </w:p>
    <w:p>
      <w:pPr>
        <w:ind w:firstLine="640" w:firstLineChars="200"/>
        <w:rPr>
          <w:rFonts w:ascii="仿宋_GB2312" w:eastAsia="仿宋_GB2312"/>
          <w:sz w:val="32"/>
          <w:szCs w:val="32"/>
        </w:rPr>
      </w:pPr>
      <w:r>
        <w:rPr>
          <w:rFonts w:hint="eastAsia" w:ascii="仿宋_GB2312" w:eastAsia="仿宋_GB2312"/>
          <w:sz w:val="32"/>
          <w:szCs w:val="32"/>
        </w:rPr>
        <w:t>12.社会保障和就业（类）行政事业单位养老支出（款）机关事业单位职业年金缴费支出（项）：指反映机关事业单位实施养老保险制度由单位实际缴纳的职业年金支出。</w:t>
      </w:r>
    </w:p>
    <w:p>
      <w:pPr>
        <w:ind w:firstLine="640" w:firstLineChars="200"/>
        <w:rPr>
          <w:rFonts w:ascii="仿宋_GB2312" w:eastAsia="仿宋_GB2312"/>
          <w:sz w:val="32"/>
          <w:szCs w:val="32"/>
        </w:rPr>
      </w:pPr>
      <w:r>
        <w:rPr>
          <w:rFonts w:hint="eastAsia" w:ascii="仿宋_GB2312" w:eastAsia="仿宋_GB2312"/>
          <w:sz w:val="32"/>
          <w:szCs w:val="32"/>
        </w:rPr>
        <w:t>13.卫生健康支出（类）行政事业单位医疗（款）事业单位医疗（项）：指反映财政部门安排的事业单位基本医疗保险缴费经费，未参加医疗保险的事业单位的公费医疗经费，按国家规定享受离休人员待遇的医疗经费。</w:t>
      </w:r>
    </w:p>
    <w:p>
      <w:pPr>
        <w:ind w:firstLine="640" w:firstLineChars="200"/>
        <w:rPr>
          <w:rFonts w:ascii="仿宋_GB2312" w:eastAsia="仿宋_GB2312"/>
          <w:sz w:val="32"/>
          <w:szCs w:val="32"/>
        </w:rPr>
      </w:pPr>
      <w:r>
        <w:rPr>
          <w:rFonts w:hint="eastAsia" w:ascii="仿宋_GB2312" w:eastAsia="仿宋_GB2312"/>
          <w:sz w:val="32"/>
          <w:szCs w:val="32"/>
        </w:rPr>
        <w:t>14</w:t>
      </w:r>
      <w:r>
        <w:rPr>
          <w:rFonts w:ascii="仿宋_GB2312" w:eastAsia="仿宋_GB2312"/>
          <w:sz w:val="32"/>
          <w:szCs w:val="32"/>
        </w:rPr>
        <w:t>.</w:t>
      </w:r>
      <w:r>
        <w:rPr>
          <w:rFonts w:hint="eastAsia" w:ascii="仿宋_GB2312" w:eastAsia="仿宋_GB2312"/>
          <w:sz w:val="32"/>
          <w:szCs w:val="32"/>
        </w:rPr>
        <w:t>农林水支出（类）扶贫（款）其他扶贫支出（项）：指反映上述项目以外其他用于脱贫攻坚方面支出。</w:t>
      </w:r>
    </w:p>
    <w:p>
      <w:pPr>
        <w:ind w:firstLine="640" w:firstLineChars="200"/>
        <w:rPr>
          <w:rFonts w:ascii="仿宋_GB2312" w:eastAsia="仿宋_GB2312"/>
          <w:sz w:val="32"/>
          <w:szCs w:val="32"/>
        </w:rPr>
      </w:pPr>
      <w:r>
        <w:rPr>
          <w:rFonts w:hint="eastAsia" w:ascii="仿宋_GB2312" w:eastAsia="仿宋_GB2312"/>
          <w:sz w:val="32"/>
          <w:szCs w:val="32"/>
        </w:rPr>
        <w:t>15</w:t>
      </w:r>
      <w:r>
        <w:rPr>
          <w:rFonts w:ascii="仿宋_GB2312" w:eastAsia="仿宋_GB2312"/>
          <w:sz w:val="32"/>
          <w:szCs w:val="32"/>
        </w:rPr>
        <w:t>.</w:t>
      </w:r>
      <w:r>
        <w:rPr>
          <w:rFonts w:hint="eastAsia" w:ascii="仿宋_GB2312" w:eastAsia="仿宋_GB2312"/>
          <w:sz w:val="32"/>
          <w:szCs w:val="32"/>
        </w:rPr>
        <w:t>住房保障支出（类）住房改革支出（款）住房公积金（项）：指反映行政事业单位按人力资源和社会保障部、财政部规定的基本工资和津贴补贴以及规定比例为职工缴纳住房公积金。</w:t>
      </w:r>
    </w:p>
    <w:p>
      <w:pPr>
        <w:ind w:firstLine="640" w:firstLineChars="200"/>
        <w:rPr>
          <w:rFonts w:ascii="仿宋_GB2312" w:eastAsia="仿宋_GB2312"/>
          <w:sz w:val="32"/>
          <w:szCs w:val="32"/>
        </w:rPr>
      </w:pPr>
      <w:r>
        <w:rPr>
          <w:rFonts w:hint="eastAsia" w:ascii="仿宋_GB2312" w:eastAsia="仿宋_GB2312"/>
          <w:sz w:val="32"/>
          <w:szCs w:val="32"/>
        </w:rPr>
        <w:t>16</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17</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p>
    <w:p>
      <w:pPr>
        <w:ind w:firstLine="640" w:firstLineChars="200"/>
        <w:rPr>
          <w:rFonts w:ascii="仿宋_GB2312" w:eastAsia="仿宋_GB2312"/>
          <w:sz w:val="32"/>
          <w:szCs w:val="32"/>
        </w:rPr>
      </w:pPr>
      <w:r>
        <w:rPr>
          <w:rFonts w:hint="eastAsia" w:ascii="仿宋_GB2312" w:eastAsia="仿宋_GB2312"/>
          <w:sz w:val="32"/>
          <w:szCs w:val="32"/>
        </w:rPr>
        <w:t>18</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8"/>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19</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8"/>
        <w:spacing w:line="560" w:lineRule="exact"/>
        <w:ind w:firstLine="640" w:firstLineChars="200"/>
        <w:rPr>
          <w:rFonts w:ascii="仿宋_GB2312" w:eastAsia="仿宋_GB2312" w:cs="黑体"/>
          <w:color w:val="auto"/>
          <w:sz w:val="32"/>
          <w:szCs w:val="32"/>
        </w:rPr>
      </w:pPr>
      <w:r>
        <w:rPr>
          <w:rFonts w:hint="eastAsia" w:ascii="仿宋_GB2312" w:eastAsia="仿宋_GB2312"/>
          <w:color w:val="auto"/>
          <w:sz w:val="32"/>
          <w:szCs w:val="32"/>
        </w:rPr>
        <w:t>20</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rPr>
          <w:rFonts w:ascii="黑体" w:hAnsi="黑体" w:eastAsia="黑体"/>
          <w:sz w:val="44"/>
          <w:szCs w:val="44"/>
        </w:rPr>
      </w:pPr>
      <w:bookmarkStart w:id="70" w:name="_Toc15396614"/>
      <w:bookmarkStart w:id="71" w:name="_Toc15377226"/>
    </w:p>
    <w:p>
      <w:pPr>
        <w:spacing w:line="600" w:lineRule="exact"/>
        <w:jc w:val="center"/>
        <w:outlineLvl w:val="0"/>
        <w:rPr>
          <w:rFonts w:ascii="黑体" w:hAnsi="黑体" w:eastAsia="黑体"/>
          <w:sz w:val="44"/>
          <w:szCs w:val="44"/>
        </w:rPr>
      </w:pPr>
      <w:bookmarkStart w:id="72" w:name="_Toc16510"/>
    </w:p>
    <w:p>
      <w:pPr>
        <w:spacing w:line="600" w:lineRule="exact"/>
        <w:jc w:val="center"/>
        <w:outlineLvl w:val="0"/>
        <w:rPr>
          <w:rStyle w:val="30"/>
          <w:rFonts w:ascii="黑体" w:hAnsi="黑体" w:eastAsia="黑体"/>
          <w:b w:val="0"/>
        </w:rPr>
      </w:pPr>
      <w:r>
        <w:rPr>
          <w:rFonts w:hint="eastAsia" w:ascii="黑体" w:hAnsi="黑体" w:eastAsia="黑体"/>
          <w:sz w:val="44"/>
          <w:szCs w:val="44"/>
        </w:rPr>
        <w:t>第</w:t>
      </w:r>
      <w:r>
        <w:rPr>
          <w:rStyle w:val="30"/>
          <w:rFonts w:hint="eastAsia" w:ascii="黑体" w:hAnsi="黑体" w:eastAsia="黑体"/>
          <w:b w:val="0"/>
        </w:rPr>
        <w:t>四部分附件</w:t>
      </w:r>
      <w:bookmarkEnd w:id="70"/>
      <w:bookmarkEnd w:id="72"/>
    </w:p>
    <w:p>
      <w:pPr>
        <w:jc w:val="center"/>
        <w:outlineLvl w:val="1"/>
        <w:rPr>
          <w:rFonts w:ascii="华文中宋" w:hAnsi="华文中宋" w:eastAsia="华文中宋"/>
          <w:b/>
          <w:sz w:val="40"/>
          <w:szCs w:val="40"/>
        </w:rPr>
      </w:pPr>
      <w:bookmarkStart w:id="73" w:name="_Toc21942"/>
      <w:r>
        <w:rPr>
          <w:rFonts w:hint="eastAsia" w:ascii="华文中宋" w:hAnsi="华文中宋" w:eastAsia="华文中宋"/>
          <w:b/>
          <w:sz w:val="40"/>
          <w:szCs w:val="40"/>
        </w:rPr>
        <w:t>通江县长坪镇新文小学</w:t>
      </w:r>
      <w:bookmarkEnd w:id="73"/>
    </w:p>
    <w:p>
      <w:pPr>
        <w:pStyle w:val="37"/>
        <w:spacing w:line="240" w:lineRule="auto"/>
        <w:jc w:val="center"/>
        <w:outlineLvl w:val="1"/>
        <w:rPr>
          <w:rFonts w:ascii="华文中宋" w:hAnsi="华文中宋" w:eastAsia="华文中宋"/>
          <w:b/>
          <w:sz w:val="40"/>
          <w:szCs w:val="40"/>
        </w:rPr>
      </w:pPr>
      <w:bookmarkStart w:id="74" w:name="_Toc12835"/>
      <w:r>
        <w:rPr>
          <w:rFonts w:hint="eastAsia" w:ascii="华文中宋" w:hAnsi="华文中宋" w:eastAsia="华文中宋"/>
          <w:b/>
          <w:sz w:val="40"/>
          <w:szCs w:val="40"/>
        </w:rPr>
        <w:t>关于2021年度财政资金整体支出绩效自评</w:t>
      </w:r>
      <w:bookmarkEnd w:id="74"/>
    </w:p>
    <w:p>
      <w:pPr>
        <w:pStyle w:val="37"/>
        <w:spacing w:line="240" w:lineRule="auto"/>
        <w:jc w:val="center"/>
        <w:outlineLvl w:val="1"/>
        <w:rPr>
          <w:rFonts w:ascii="华文中宋" w:hAnsi="华文中宋" w:eastAsia="华文中宋"/>
          <w:b/>
          <w:sz w:val="40"/>
          <w:szCs w:val="40"/>
        </w:rPr>
      </w:pPr>
      <w:bookmarkStart w:id="75" w:name="_Toc2960"/>
      <w:r>
        <w:rPr>
          <w:rFonts w:hint="eastAsia" w:ascii="华文中宋" w:hAnsi="华文中宋" w:eastAsia="华文中宋"/>
          <w:b/>
          <w:sz w:val="40"/>
          <w:szCs w:val="40"/>
        </w:rPr>
        <w:t>报告</w:t>
      </w:r>
      <w:bookmarkEnd w:id="75"/>
    </w:p>
    <w:p>
      <w:pPr>
        <w:pStyle w:val="37"/>
        <w:spacing w:line="240" w:lineRule="auto"/>
        <w:rPr>
          <w:rFonts w:ascii="宋体" w:hAnsi="宋体"/>
          <w:b/>
          <w:bCs/>
          <w:sz w:val="32"/>
          <w:szCs w:val="32"/>
        </w:rPr>
      </w:pPr>
    </w:p>
    <w:p>
      <w:pPr>
        <w:pStyle w:val="37"/>
        <w:spacing w:line="520" w:lineRule="exact"/>
        <w:rPr>
          <w:rFonts w:ascii="仿宋_GB2312" w:hAnsi="仿宋" w:eastAsia="仿宋_GB2312" w:cs="Times New Roman"/>
          <w:color w:val="auto"/>
          <w:kern w:val="2"/>
          <w:sz w:val="32"/>
          <w:szCs w:val="32"/>
        </w:rPr>
      </w:pPr>
      <w:r>
        <w:rPr>
          <w:rFonts w:hint="eastAsia" w:ascii="仿宋_GB2312" w:hAnsi="仿宋" w:eastAsia="仿宋_GB2312" w:cs="Times New Roman"/>
          <w:color w:val="auto"/>
          <w:kern w:val="2"/>
          <w:sz w:val="32"/>
          <w:szCs w:val="32"/>
        </w:rPr>
        <w:t>为加强</w:t>
      </w:r>
      <w:r>
        <w:rPr>
          <w:rFonts w:hint="eastAsia" w:ascii="仿宋_GB2312" w:hAnsi="仿宋" w:eastAsia="仿宋_GB2312" w:cs="Times New Roman"/>
          <w:color w:val="auto"/>
          <w:kern w:val="2"/>
          <w:sz w:val="32"/>
          <w:szCs w:val="32"/>
          <w:u w:val="none" w:color="46CD7E"/>
          <w:shd w:val="clear" w:fill="auto"/>
          <w:lang w:eastAsia="zh-CN"/>
        </w:rPr>
        <w:t>学校教育管理</w:t>
      </w:r>
      <w:r>
        <w:rPr>
          <w:rFonts w:hint="eastAsia" w:ascii="仿宋_GB2312" w:hAnsi="仿宋" w:eastAsia="仿宋_GB2312" w:cs="Times New Roman"/>
          <w:color w:val="auto"/>
          <w:kern w:val="2"/>
          <w:sz w:val="32"/>
          <w:szCs w:val="32"/>
        </w:rPr>
        <w:t>，充分发挥教育服务作用，调动</w:t>
      </w:r>
      <w:r>
        <w:rPr>
          <w:rFonts w:hint="eastAsia" w:ascii="仿宋_GB2312" w:hAnsi="仿宋" w:eastAsia="仿宋_GB2312" w:cs="Times New Roman"/>
          <w:color w:val="auto"/>
          <w:kern w:val="2"/>
          <w:sz w:val="32"/>
          <w:szCs w:val="32"/>
          <w:u w:val="none" w:color="46CD7E"/>
          <w:shd w:val="clear" w:fill="auto"/>
          <w:lang w:eastAsia="zh-CN"/>
        </w:rPr>
        <w:t>我校教育</w:t>
      </w:r>
      <w:r>
        <w:rPr>
          <w:rFonts w:hint="eastAsia" w:ascii="仿宋_GB2312" w:hAnsi="仿宋" w:eastAsia="仿宋_GB2312" w:cs="Times New Roman"/>
          <w:color w:val="auto"/>
          <w:kern w:val="2"/>
          <w:sz w:val="32"/>
          <w:szCs w:val="32"/>
        </w:rPr>
        <w:t>人员的积极性。根据四川省教育系统绩效考核标准及通江县财政局关于全面实施预算绩效管理的通知《通财绩【2022】13号》文件精神，我校进行了自查自评，现将绩效自查情况报告如下：</w:t>
      </w:r>
    </w:p>
    <w:p>
      <w:pPr>
        <w:tabs>
          <w:tab w:val="left" w:pos="6804"/>
          <w:tab w:val="left" w:pos="7088"/>
          <w:tab w:val="left" w:pos="7513"/>
          <w:tab w:val="left" w:pos="8080"/>
        </w:tabs>
        <w:spacing w:line="520" w:lineRule="exact"/>
        <w:ind w:firstLine="643" w:firstLineChars="200"/>
        <w:jc w:val="left"/>
        <w:outlineLvl w:val="1"/>
        <w:rPr>
          <w:rFonts w:ascii="仿宋_GB2312" w:hAnsi="仿宋" w:eastAsia="仿宋_GB2312"/>
          <w:b/>
          <w:sz w:val="32"/>
          <w:szCs w:val="32"/>
        </w:rPr>
      </w:pPr>
      <w:bookmarkStart w:id="76" w:name="_Toc10024"/>
      <w:r>
        <w:rPr>
          <w:rFonts w:hint="eastAsia" w:ascii="仿宋_GB2312" w:hAnsi="仿宋" w:eastAsia="仿宋_GB2312"/>
          <w:b/>
          <w:sz w:val="32"/>
          <w:szCs w:val="32"/>
        </w:rPr>
        <w:t>一、学校基本情况</w:t>
      </w:r>
      <w:bookmarkEnd w:id="76"/>
    </w:p>
    <w:p>
      <w:pPr>
        <w:adjustRightInd w:val="0"/>
        <w:snapToGrid w:val="0"/>
        <w:spacing w:line="520" w:lineRule="exact"/>
        <w:ind w:firstLine="720"/>
        <w:rPr>
          <w:rFonts w:ascii="仿宋_GB2312" w:hAnsi="仿宋" w:eastAsia="仿宋_GB2312"/>
          <w:sz w:val="32"/>
          <w:szCs w:val="32"/>
        </w:rPr>
      </w:pPr>
      <w:r>
        <w:rPr>
          <w:rFonts w:hint="eastAsia" w:ascii="仿宋_GB2312" w:hAnsi="仿宋" w:eastAsia="仿宋_GB2312"/>
          <w:sz w:val="32"/>
          <w:szCs w:val="32"/>
        </w:rPr>
        <w:t>通江县长坪镇新文小学属财政拨款事业单位，主要职能是认真贯彻落实党和国家的方针、政策，正确执行上级主管部门的决议和指示，全面实施素质教育，培养德、智、体、美等方面全面发展的社会主义事业的建设者和接班人。年末编制数19人，实际在岗教职工28人（其中专技人员17人，特岗9人，工勤2人），遗属人员4人，年末财政供养人员32人。年末实有小学生74人。</w:t>
      </w:r>
    </w:p>
    <w:p>
      <w:pPr>
        <w:tabs>
          <w:tab w:val="left" w:pos="6804"/>
          <w:tab w:val="left" w:pos="7088"/>
          <w:tab w:val="left" w:pos="7513"/>
          <w:tab w:val="left" w:pos="8080"/>
        </w:tabs>
        <w:spacing w:line="520" w:lineRule="exact"/>
        <w:ind w:firstLine="643" w:firstLineChars="200"/>
        <w:jc w:val="left"/>
        <w:outlineLvl w:val="1"/>
        <w:rPr>
          <w:rFonts w:ascii="仿宋_GB2312" w:hAnsi="仿宋" w:eastAsia="仿宋_GB2312"/>
          <w:b/>
          <w:sz w:val="32"/>
          <w:szCs w:val="32"/>
        </w:rPr>
      </w:pPr>
      <w:bookmarkStart w:id="77" w:name="_Toc21980"/>
      <w:r>
        <w:rPr>
          <w:rFonts w:hint="eastAsia" w:ascii="仿宋_GB2312" w:hAnsi="仿宋" w:eastAsia="仿宋_GB2312"/>
          <w:b/>
          <w:sz w:val="32"/>
          <w:szCs w:val="32"/>
        </w:rPr>
        <w:t>二、财政资金收支情况</w:t>
      </w:r>
      <w:bookmarkEnd w:id="77"/>
    </w:p>
    <w:p>
      <w:pPr>
        <w:adjustRightInd w:val="0"/>
        <w:snapToGrid w:val="0"/>
        <w:spacing w:line="520" w:lineRule="exact"/>
        <w:ind w:firstLine="720"/>
        <w:rPr>
          <w:rFonts w:ascii="仿宋_GB2312" w:hAnsi="仿宋" w:eastAsia="仿宋_GB2312"/>
          <w:sz w:val="32"/>
          <w:szCs w:val="32"/>
        </w:rPr>
      </w:pPr>
      <w:r>
        <w:rPr>
          <w:rFonts w:hint="eastAsia" w:ascii="仿宋_GB2312" w:hAnsi="仿宋" w:eastAsia="仿宋_GB2312"/>
          <w:sz w:val="32"/>
          <w:szCs w:val="32"/>
        </w:rPr>
        <w:t>（一）财政资金收入</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2021年度财政拨款资金为</w:t>
      </w:r>
      <w:bookmarkStart w:id="78" w:name="_Hlk113355092"/>
      <w:r>
        <w:rPr>
          <w:rFonts w:ascii="仿宋_GB2312" w:hAnsi="仿宋" w:eastAsia="仿宋_GB2312"/>
          <w:sz w:val="32"/>
          <w:szCs w:val="32"/>
        </w:rPr>
        <w:t>3</w:t>
      </w:r>
      <w:r>
        <w:rPr>
          <w:rFonts w:hint="eastAsia" w:ascii="仿宋_GB2312" w:hAnsi="仿宋" w:eastAsia="仿宋_GB2312"/>
          <w:sz w:val="32"/>
          <w:szCs w:val="32"/>
        </w:rPr>
        <w:t>45.28万元，其中：人员经费283.6万元，公用经费26.63万元，项目资金35.57万元。</w:t>
      </w:r>
      <w:bookmarkEnd w:id="78"/>
      <w:r>
        <w:rPr>
          <w:rFonts w:hint="eastAsia" w:ascii="仿宋_GB2312" w:hAnsi="仿宋" w:eastAsia="仿宋_GB2312"/>
          <w:sz w:val="32"/>
          <w:szCs w:val="32"/>
        </w:rPr>
        <w:t>开支用于学校教职工工资福利支出及商品服务支出等，支出依据合规合法，资金支付与预算相符。</w:t>
      </w:r>
    </w:p>
    <w:p>
      <w:pPr>
        <w:adjustRightInd w:val="0"/>
        <w:snapToGrid w:val="0"/>
        <w:spacing w:line="520" w:lineRule="exact"/>
        <w:ind w:firstLine="720"/>
        <w:rPr>
          <w:rFonts w:ascii="仿宋_GB2312" w:hAnsi="仿宋" w:eastAsia="仿宋_GB2312"/>
          <w:sz w:val="32"/>
          <w:szCs w:val="32"/>
        </w:rPr>
      </w:pPr>
      <w:r>
        <w:rPr>
          <w:rFonts w:hint="eastAsia" w:ascii="仿宋_GB2312" w:hAnsi="仿宋" w:eastAsia="仿宋_GB2312"/>
          <w:sz w:val="32"/>
          <w:szCs w:val="32"/>
        </w:rPr>
        <w:t>（二）财政资金支出</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2021年度财政资金支出345.28万元，其中：人员经费283.6万元，公用经费26.63万元，项目资金35.57万元。</w:t>
      </w:r>
    </w:p>
    <w:p>
      <w:pPr>
        <w:adjustRightInd w:val="0"/>
        <w:snapToGrid w:val="0"/>
        <w:spacing w:line="520" w:lineRule="exact"/>
        <w:ind w:firstLine="720"/>
        <w:outlineLvl w:val="1"/>
        <w:rPr>
          <w:rFonts w:ascii="仿宋_GB2312" w:hAnsi="仿宋" w:eastAsia="仿宋_GB2312"/>
          <w:b/>
          <w:sz w:val="32"/>
          <w:szCs w:val="32"/>
        </w:rPr>
      </w:pPr>
      <w:bookmarkStart w:id="79" w:name="_Toc2168"/>
      <w:r>
        <w:rPr>
          <w:rFonts w:hint="eastAsia" w:ascii="仿宋_GB2312" w:hAnsi="仿宋" w:eastAsia="仿宋_GB2312"/>
          <w:b/>
          <w:sz w:val="32"/>
          <w:szCs w:val="32"/>
        </w:rPr>
        <w:t>三、学校整体预算绩效管理情况</w:t>
      </w:r>
      <w:bookmarkEnd w:id="79"/>
    </w:p>
    <w:p>
      <w:pPr>
        <w:adjustRightInd w:val="0"/>
        <w:snapToGrid w:val="0"/>
        <w:spacing w:line="520" w:lineRule="exact"/>
        <w:ind w:firstLine="720"/>
        <w:rPr>
          <w:rFonts w:ascii="仿宋_GB2312" w:hAnsi="仿宋" w:eastAsia="仿宋_GB2312"/>
          <w:b/>
          <w:sz w:val="32"/>
          <w:szCs w:val="32"/>
        </w:rPr>
      </w:pPr>
      <w:r>
        <w:rPr>
          <w:rFonts w:hint="eastAsia" w:ascii="仿宋_GB2312" w:hAnsi="仿宋" w:eastAsia="仿宋_GB2312"/>
          <w:b/>
          <w:sz w:val="32"/>
          <w:szCs w:val="32"/>
          <w:lang w:val="zh-CN"/>
        </w:rPr>
        <w:t>（一）学校预算项目绩效管理</w:t>
      </w:r>
      <w:r>
        <w:rPr>
          <w:rFonts w:hint="eastAsia" w:ascii="仿宋_GB2312" w:hAnsi="仿宋" w:eastAsia="仿宋_GB2312"/>
          <w:b/>
          <w:sz w:val="32"/>
          <w:szCs w:val="32"/>
        </w:rPr>
        <w:t>。</w:t>
      </w:r>
    </w:p>
    <w:p>
      <w:pPr>
        <w:adjustRightInd w:val="0"/>
        <w:snapToGrid w:val="0"/>
        <w:spacing w:line="520" w:lineRule="exact"/>
        <w:ind w:firstLine="720"/>
        <w:rPr>
          <w:rFonts w:ascii="仿宋_GB2312" w:hAnsi="仿宋" w:eastAsia="仿宋_GB2312"/>
          <w:sz w:val="32"/>
          <w:szCs w:val="32"/>
        </w:rPr>
      </w:pPr>
      <w:r>
        <w:rPr>
          <w:rFonts w:hint="eastAsia" w:ascii="仿宋_GB2312" w:hAnsi="仿宋" w:eastAsia="仿宋_GB2312"/>
          <w:sz w:val="32"/>
          <w:szCs w:val="32"/>
        </w:rPr>
        <w:t>所有项目的日常管理工作均按照我校相关管理制度执行，建立了工作有计划、实施有方案、日常有监督的管理机制，工作取得了较好的成效，效能得到了提高，获得了社会各界的好评，学校成立了绩效管理考核领导小组，组织教职工讨论绩效实施细则，由学校工会监督执行，绩效考核按照学校绩效分配制度执行。</w:t>
      </w:r>
    </w:p>
    <w:p>
      <w:pPr>
        <w:adjustRightInd w:val="0"/>
        <w:snapToGrid w:val="0"/>
        <w:spacing w:line="520" w:lineRule="exact"/>
        <w:ind w:firstLine="720"/>
        <w:rPr>
          <w:rFonts w:ascii="仿宋_GB2312" w:hAnsi="仿宋" w:eastAsia="仿宋_GB2312"/>
          <w:b/>
          <w:sz w:val="32"/>
          <w:szCs w:val="32"/>
          <w:lang w:val="zh-CN"/>
        </w:rPr>
      </w:pPr>
      <w:r>
        <w:rPr>
          <w:rFonts w:hint="eastAsia" w:ascii="仿宋_GB2312" w:hAnsi="仿宋" w:eastAsia="仿宋_GB2312"/>
          <w:b/>
          <w:sz w:val="32"/>
          <w:szCs w:val="32"/>
          <w:lang w:val="zh-CN"/>
        </w:rPr>
        <w:t>（二）结果应用情况。</w:t>
      </w:r>
    </w:p>
    <w:p>
      <w:pPr>
        <w:adjustRightInd w:val="0"/>
        <w:snapToGrid w:val="0"/>
        <w:spacing w:line="520" w:lineRule="exact"/>
        <w:ind w:firstLine="800" w:firstLineChars="250"/>
        <w:rPr>
          <w:rFonts w:ascii="仿宋_GB2312" w:hAnsi="仿宋" w:eastAsia="仿宋_GB2312"/>
          <w:sz w:val="32"/>
          <w:szCs w:val="32"/>
        </w:rPr>
      </w:pPr>
      <w:r>
        <w:rPr>
          <w:rFonts w:hint="eastAsia" w:ascii="仿宋_GB2312" w:hAnsi="仿宋" w:eastAsia="仿宋_GB2312"/>
          <w:sz w:val="32"/>
          <w:szCs w:val="32"/>
        </w:rPr>
        <w:t>1.目标任务量完成情况。</w:t>
      </w:r>
    </w:p>
    <w:p>
      <w:pPr>
        <w:adjustRightInd w:val="0"/>
        <w:snapToGrid w:val="0"/>
        <w:spacing w:line="520" w:lineRule="exact"/>
        <w:ind w:firstLine="720"/>
        <w:rPr>
          <w:rFonts w:ascii="仿宋_GB2312" w:hAnsi="仿宋" w:eastAsia="仿宋_GB2312"/>
          <w:sz w:val="32"/>
          <w:szCs w:val="32"/>
        </w:rPr>
      </w:pPr>
      <w:r>
        <w:rPr>
          <w:rFonts w:hint="eastAsia" w:ascii="仿宋_GB2312" w:hAnsi="仿宋" w:eastAsia="仿宋_GB2312"/>
          <w:sz w:val="32"/>
          <w:szCs w:val="32"/>
        </w:rPr>
        <w:t>全校教职工完成学期目标任务，达到了相关教学要求，学校整体工作取得了较好成效。</w:t>
      </w:r>
    </w:p>
    <w:p>
      <w:pPr>
        <w:adjustRightInd w:val="0"/>
        <w:snapToGrid w:val="0"/>
        <w:spacing w:line="520" w:lineRule="exact"/>
        <w:ind w:firstLine="720"/>
        <w:rPr>
          <w:rFonts w:ascii="仿宋_GB2312" w:hAnsi="仿宋" w:eastAsia="仿宋_GB2312"/>
          <w:sz w:val="32"/>
          <w:szCs w:val="32"/>
        </w:rPr>
      </w:pPr>
      <w:r>
        <w:rPr>
          <w:rFonts w:hint="eastAsia" w:ascii="仿宋_GB2312" w:hAnsi="仿宋" w:eastAsia="仿宋_GB2312"/>
          <w:sz w:val="32"/>
          <w:szCs w:val="32"/>
        </w:rPr>
        <w:t>2.目标质量完成情况。</w:t>
      </w:r>
    </w:p>
    <w:p>
      <w:pPr>
        <w:adjustRightInd w:val="0"/>
        <w:snapToGrid w:val="0"/>
        <w:spacing w:line="520" w:lineRule="exact"/>
        <w:ind w:firstLine="720"/>
        <w:rPr>
          <w:rFonts w:ascii="仿宋_GB2312" w:hAnsi="仿宋" w:eastAsia="仿宋_GB2312"/>
          <w:sz w:val="32"/>
          <w:szCs w:val="32"/>
        </w:rPr>
      </w:pPr>
      <w:r>
        <w:rPr>
          <w:rFonts w:hint="eastAsia" w:ascii="仿宋_GB2312" w:hAnsi="仿宋" w:eastAsia="仿宋_GB2312"/>
          <w:sz w:val="32"/>
          <w:szCs w:val="32"/>
        </w:rPr>
        <w:t>按照年初目标任务，实际完成较好，个别教职工做得很优秀。</w:t>
      </w:r>
    </w:p>
    <w:p>
      <w:pPr>
        <w:adjustRightInd w:val="0"/>
        <w:snapToGrid w:val="0"/>
        <w:spacing w:line="520" w:lineRule="exact"/>
        <w:ind w:firstLine="800" w:firstLineChars="250"/>
        <w:rPr>
          <w:rFonts w:ascii="仿宋_GB2312" w:hAnsi="仿宋" w:eastAsia="仿宋_GB2312"/>
          <w:sz w:val="32"/>
          <w:szCs w:val="32"/>
        </w:rPr>
      </w:pPr>
      <w:r>
        <w:rPr>
          <w:rFonts w:hint="eastAsia" w:ascii="仿宋_GB2312" w:hAnsi="仿宋" w:eastAsia="仿宋_GB2312"/>
          <w:sz w:val="32"/>
          <w:szCs w:val="32"/>
        </w:rPr>
        <w:t>3.目标进度完成情况。</w:t>
      </w:r>
    </w:p>
    <w:p>
      <w:pPr>
        <w:adjustRightInd w:val="0"/>
        <w:snapToGrid w:val="0"/>
        <w:spacing w:line="520" w:lineRule="exact"/>
        <w:ind w:firstLine="800" w:firstLineChars="250"/>
        <w:rPr>
          <w:rFonts w:ascii="仿宋_GB2312" w:hAnsi="仿宋" w:eastAsia="仿宋_GB2312"/>
          <w:sz w:val="32"/>
          <w:szCs w:val="32"/>
        </w:rPr>
      </w:pPr>
      <w:r>
        <w:rPr>
          <w:rFonts w:hint="eastAsia" w:ascii="仿宋_GB2312" w:hAnsi="仿宋" w:eastAsia="仿宋_GB2312"/>
          <w:sz w:val="32"/>
          <w:szCs w:val="32"/>
        </w:rPr>
        <w:t>对照预定计划，全部完成了目标任务。</w:t>
      </w:r>
    </w:p>
    <w:p>
      <w:pPr>
        <w:adjustRightInd w:val="0"/>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4.项目效益情况实施目标绩效考核，充分调动了教职工积极性，学校各方面工作都有序，高质量完成，产生较好的社会效益，严格执行目标管理，充分保障学校正常运转。</w:t>
      </w:r>
    </w:p>
    <w:p>
      <w:pPr>
        <w:tabs>
          <w:tab w:val="left" w:pos="6804"/>
          <w:tab w:val="left" w:pos="7088"/>
          <w:tab w:val="left" w:pos="7513"/>
          <w:tab w:val="left" w:pos="8080"/>
        </w:tabs>
        <w:spacing w:line="520" w:lineRule="exact"/>
        <w:ind w:firstLine="643" w:firstLineChars="200"/>
        <w:jc w:val="left"/>
        <w:outlineLvl w:val="1"/>
        <w:rPr>
          <w:rFonts w:ascii="仿宋_GB2312" w:hAnsi="仿宋" w:eastAsia="仿宋_GB2312"/>
          <w:b/>
          <w:sz w:val="32"/>
          <w:szCs w:val="32"/>
        </w:rPr>
      </w:pPr>
      <w:bookmarkStart w:id="80" w:name="_Toc27308"/>
      <w:r>
        <w:rPr>
          <w:rFonts w:hint="eastAsia" w:ascii="仿宋_GB2312" w:hAnsi="仿宋" w:eastAsia="仿宋_GB2312"/>
          <w:b/>
          <w:sz w:val="32"/>
          <w:szCs w:val="32"/>
        </w:rPr>
        <w:t>四、评价结论及建议</w:t>
      </w:r>
      <w:bookmarkEnd w:id="80"/>
    </w:p>
    <w:p>
      <w:pPr>
        <w:adjustRightInd w:val="0"/>
        <w:snapToGrid w:val="0"/>
        <w:spacing w:line="520" w:lineRule="exact"/>
        <w:ind w:firstLine="720"/>
        <w:rPr>
          <w:rFonts w:ascii="仿宋_GB2312" w:hAnsi="仿宋" w:eastAsia="仿宋_GB2312"/>
          <w:sz w:val="32"/>
          <w:szCs w:val="32"/>
        </w:rPr>
      </w:pPr>
      <w:r>
        <w:rPr>
          <w:rFonts w:hint="eastAsia" w:ascii="仿宋_GB2312" w:hAnsi="仿宋" w:eastAsia="仿宋_GB2312"/>
          <w:sz w:val="32"/>
          <w:szCs w:val="32"/>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pPr>
        <w:pStyle w:val="3"/>
        <w:spacing w:before="93"/>
        <w:rPr>
          <w:sz w:val="32"/>
          <w:szCs w:val="32"/>
        </w:rPr>
      </w:pPr>
    </w:p>
    <w:p>
      <w:pPr>
        <w:spacing w:line="600" w:lineRule="exact"/>
        <w:jc w:val="center"/>
        <w:outlineLvl w:val="0"/>
        <w:rPr>
          <w:rStyle w:val="30"/>
          <w:rFonts w:ascii="黑体" w:hAnsi="黑体" w:eastAsia="黑体"/>
          <w:b w:val="0"/>
        </w:rPr>
      </w:pPr>
      <w:bookmarkStart w:id="81" w:name="_Toc29543"/>
      <w:bookmarkStart w:id="82" w:name="_Toc15396618"/>
      <w:r>
        <w:rPr>
          <w:rFonts w:hint="eastAsia" w:ascii="黑体" w:hAnsi="黑体" w:eastAsia="黑体"/>
          <w:sz w:val="44"/>
          <w:szCs w:val="44"/>
        </w:rPr>
        <w:t>第</w:t>
      </w:r>
      <w:r>
        <w:rPr>
          <w:rStyle w:val="30"/>
          <w:rFonts w:hint="eastAsia" w:ascii="黑体" w:hAnsi="黑体" w:eastAsia="黑体"/>
          <w:b w:val="0"/>
        </w:rPr>
        <w:t>五部分附表</w:t>
      </w:r>
      <w:bookmarkEnd w:id="71"/>
      <w:bookmarkEnd w:id="81"/>
      <w:bookmarkEnd w:id="82"/>
      <w:bookmarkStart w:id="83" w:name="_Toc15396619"/>
      <w:bookmarkStart w:id="84" w:name="_Toc13027"/>
    </w:p>
    <w:p>
      <w:pPr>
        <w:spacing w:line="640" w:lineRule="exact"/>
        <w:outlineLvl w:val="0"/>
        <w:rPr>
          <w:rFonts w:ascii="仿宋" w:hAnsi="仿宋" w:eastAsia="仿宋"/>
          <w:sz w:val="32"/>
          <w:szCs w:val="32"/>
        </w:rPr>
      </w:pPr>
    </w:p>
    <w:p>
      <w:pPr>
        <w:spacing w:line="640" w:lineRule="exact"/>
        <w:outlineLvl w:val="0"/>
        <w:rPr>
          <w:rFonts w:ascii="仿宋" w:hAnsi="仿宋" w:eastAsia="仿宋"/>
        </w:rPr>
      </w:pPr>
      <w:r>
        <w:rPr>
          <w:rFonts w:hint="eastAsia" w:ascii="仿宋" w:hAnsi="仿宋" w:eastAsia="仿宋"/>
          <w:sz w:val="32"/>
          <w:szCs w:val="32"/>
        </w:rPr>
        <w:t>一、收</w:t>
      </w:r>
      <w:r>
        <w:rPr>
          <w:rStyle w:val="31"/>
          <w:rFonts w:hint="eastAsia" w:ascii="仿宋" w:hAnsi="仿宋" w:eastAsia="仿宋"/>
          <w:b w:val="0"/>
          <w:bCs w:val="0"/>
        </w:rPr>
        <w:t>入支出</w:t>
      </w:r>
      <w:r>
        <w:rPr>
          <w:rFonts w:hint="eastAsia" w:ascii="仿宋" w:hAnsi="仿宋" w:eastAsia="仿宋"/>
        </w:rPr>
        <w:t>决算总表</w:t>
      </w:r>
      <w:bookmarkEnd w:id="83"/>
      <w:bookmarkEnd w:id="84"/>
    </w:p>
    <w:p>
      <w:pPr>
        <w:pStyle w:val="14"/>
        <w:spacing w:before="0" w:after="0" w:line="640" w:lineRule="exact"/>
        <w:rPr>
          <w:rFonts w:ascii="仿宋" w:hAnsi="仿宋" w:eastAsia="仿宋"/>
        </w:rPr>
      </w:pPr>
      <w:bookmarkStart w:id="85" w:name="_Toc28759"/>
      <w:bookmarkStart w:id="86" w:name="_Toc15396620"/>
      <w:r>
        <w:rPr>
          <w:rFonts w:hint="eastAsia" w:ascii="仿宋" w:hAnsi="仿宋" w:eastAsia="仿宋"/>
          <w:b w:val="0"/>
        </w:rPr>
        <w:t>二、收</w:t>
      </w:r>
      <w:r>
        <w:rPr>
          <w:rStyle w:val="31"/>
          <w:rFonts w:hint="eastAsia" w:ascii="仿宋" w:hAnsi="仿宋" w:eastAsia="仿宋"/>
          <w:b w:val="0"/>
          <w:bCs w:val="0"/>
        </w:rPr>
        <w:t>入决算表</w:t>
      </w:r>
      <w:bookmarkEnd w:id="85"/>
      <w:bookmarkEnd w:id="86"/>
    </w:p>
    <w:p>
      <w:pPr>
        <w:pStyle w:val="14"/>
        <w:spacing w:before="0" w:after="0" w:line="640" w:lineRule="exact"/>
        <w:rPr>
          <w:rFonts w:ascii="仿宋" w:hAnsi="仿宋" w:eastAsia="仿宋"/>
        </w:rPr>
      </w:pPr>
      <w:bookmarkStart w:id="87" w:name="_Toc26996"/>
      <w:bookmarkStart w:id="88" w:name="_Toc15396621"/>
      <w:r>
        <w:rPr>
          <w:rStyle w:val="31"/>
          <w:rFonts w:hint="eastAsia" w:ascii="仿宋" w:hAnsi="仿宋" w:eastAsia="仿宋"/>
          <w:b w:val="0"/>
          <w:bCs w:val="0"/>
        </w:rPr>
        <w:t>三、</w:t>
      </w:r>
      <w:r>
        <w:rPr>
          <w:rFonts w:hint="eastAsia" w:ascii="仿宋" w:hAnsi="仿宋" w:eastAsia="仿宋"/>
          <w:b w:val="0"/>
        </w:rPr>
        <w:t>支</w:t>
      </w:r>
      <w:r>
        <w:rPr>
          <w:rStyle w:val="31"/>
          <w:rFonts w:hint="eastAsia" w:ascii="仿宋" w:hAnsi="仿宋" w:eastAsia="仿宋"/>
          <w:b w:val="0"/>
          <w:bCs w:val="0"/>
        </w:rPr>
        <w:t>出</w:t>
      </w:r>
      <w:r>
        <w:rPr>
          <w:rFonts w:hint="eastAsia" w:ascii="仿宋" w:hAnsi="仿宋" w:eastAsia="仿宋"/>
          <w:b w:val="0"/>
          <w:bCs w:val="0"/>
        </w:rPr>
        <w:t>决算表</w:t>
      </w:r>
      <w:bookmarkEnd w:id="87"/>
      <w:bookmarkEnd w:id="88"/>
    </w:p>
    <w:p>
      <w:pPr>
        <w:pStyle w:val="14"/>
        <w:spacing w:before="0" w:after="0" w:line="640" w:lineRule="exact"/>
        <w:rPr>
          <w:rFonts w:ascii="仿宋" w:hAnsi="仿宋" w:eastAsia="仿宋"/>
          <w:b w:val="0"/>
        </w:rPr>
      </w:pPr>
      <w:bookmarkStart w:id="89" w:name="_Toc15396622"/>
      <w:bookmarkStart w:id="90" w:name="_Toc14880"/>
      <w:r>
        <w:rPr>
          <w:rStyle w:val="31"/>
          <w:rFonts w:hint="eastAsia" w:ascii="仿宋" w:hAnsi="仿宋" w:eastAsia="仿宋"/>
          <w:b w:val="0"/>
          <w:bCs w:val="0"/>
        </w:rPr>
        <w:t>四、</w:t>
      </w:r>
      <w:r>
        <w:rPr>
          <w:rFonts w:hint="eastAsia" w:ascii="仿宋" w:hAnsi="仿宋" w:eastAsia="仿宋"/>
          <w:b w:val="0"/>
        </w:rPr>
        <w:t>财</w:t>
      </w:r>
      <w:r>
        <w:rPr>
          <w:rStyle w:val="31"/>
          <w:rFonts w:hint="eastAsia" w:ascii="仿宋" w:hAnsi="仿宋" w:eastAsia="仿宋"/>
          <w:b w:val="0"/>
          <w:bCs w:val="0"/>
        </w:rPr>
        <w:t>政拨款收入支出</w:t>
      </w:r>
      <w:r>
        <w:rPr>
          <w:rFonts w:hint="eastAsia" w:ascii="仿宋" w:hAnsi="仿宋" w:eastAsia="仿宋"/>
          <w:b w:val="0"/>
          <w:bCs w:val="0"/>
        </w:rPr>
        <w:t>决算总表</w:t>
      </w:r>
      <w:bookmarkEnd w:id="89"/>
      <w:bookmarkEnd w:id="90"/>
    </w:p>
    <w:p>
      <w:pPr>
        <w:pStyle w:val="14"/>
        <w:spacing w:before="0" w:after="0" w:line="640" w:lineRule="exact"/>
        <w:rPr>
          <w:rStyle w:val="31"/>
          <w:rFonts w:ascii="仿宋" w:hAnsi="仿宋" w:eastAsia="仿宋"/>
          <w:b w:val="0"/>
          <w:bCs w:val="0"/>
        </w:rPr>
      </w:pPr>
      <w:bookmarkStart w:id="91" w:name="_Toc25282"/>
      <w:bookmarkStart w:id="92" w:name="_Toc15396623"/>
      <w:r>
        <w:rPr>
          <w:rStyle w:val="31"/>
          <w:rFonts w:hint="eastAsia" w:ascii="仿宋" w:hAnsi="仿宋" w:eastAsia="仿宋"/>
          <w:b w:val="0"/>
          <w:bCs w:val="0"/>
        </w:rPr>
        <w:t>五、</w:t>
      </w:r>
      <w:r>
        <w:rPr>
          <w:rFonts w:hint="eastAsia" w:ascii="仿宋" w:hAnsi="仿宋" w:eastAsia="仿宋"/>
          <w:b w:val="0"/>
        </w:rPr>
        <w:t>财</w:t>
      </w:r>
      <w:r>
        <w:rPr>
          <w:rStyle w:val="31"/>
          <w:rFonts w:hint="eastAsia" w:ascii="仿宋" w:hAnsi="仿宋" w:eastAsia="仿宋"/>
          <w:b w:val="0"/>
          <w:bCs w:val="0"/>
        </w:rPr>
        <w:t>政拨款支出</w:t>
      </w:r>
      <w:r>
        <w:rPr>
          <w:rFonts w:hint="eastAsia" w:ascii="仿宋" w:hAnsi="仿宋" w:eastAsia="仿宋"/>
          <w:b w:val="0"/>
          <w:bCs w:val="0"/>
        </w:rPr>
        <w:t>决算明细表</w:t>
      </w:r>
      <w:bookmarkEnd w:id="91"/>
      <w:bookmarkEnd w:id="92"/>
      <w:bookmarkStart w:id="93" w:name="_Toc15396624"/>
    </w:p>
    <w:p>
      <w:pPr>
        <w:pStyle w:val="14"/>
        <w:spacing w:before="0" w:after="0" w:line="640" w:lineRule="exact"/>
        <w:rPr>
          <w:rFonts w:ascii="仿宋" w:hAnsi="仿宋" w:eastAsia="仿宋"/>
        </w:rPr>
      </w:pPr>
      <w:bookmarkStart w:id="94" w:name="_Toc27872"/>
      <w:r>
        <w:rPr>
          <w:rStyle w:val="31"/>
          <w:rFonts w:hint="eastAsia" w:ascii="仿宋" w:hAnsi="仿宋" w:eastAsia="仿宋"/>
          <w:b w:val="0"/>
          <w:bCs w:val="0"/>
        </w:rPr>
        <w:t>六、</w:t>
      </w:r>
      <w:r>
        <w:rPr>
          <w:rFonts w:hint="eastAsia" w:ascii="仿宋" w:hAnsi="仿宋" w:eastAsia="仿宋"/>
          <w:b w:val="0"/>
        </w:rPr>
        <w:t>一</w:t>
      </w:r>
      <w:r>
        <w:rPr>
          <w:rStyle w:val="31"/>
          <w:rFonts w:hint="eastAsia" w:ascii="仿宋" w:hAnsi="仿宋" w:eastAsia="仿宋"/>
          <w:b w:val="0"/>
          <w:bCs w:val="0"/>
        </w:rPr>
        <w:t>般公共预算</w:t>
      </w:r>
      <w:r>
        <w:rPr>
          <w:rFonts w:hint="eastAsia" w:ascii="仿宋" w:hAnsi="仿宋" w:eastAsia="仿宋"/>
          <w:b w:val="0"/>
          <w:bCs w:val="0"/>
        </w:rPr>
        <w:t>财政拨款支出决算表</w:t>
      </w:r>
      <w:bookmarkEnd w:id="93"/>
      <w:bookmarkEnd w:id="94"/>
    </w:p>
    <w:p>
      <w:pPr>
        <w:pStyle w:val="14"/>
        <w:spacing w:before="0" w:after="0" w:line="640" w:lineRule="exact"/>
        <w:rPr>
          <w:rFonts w:ascii="仿宋" w:hAnsi="仿宋" w:eastAsia="仿宋"/>
        </w:rPr>
      </w:pPr>
      <w:bookmarkStart w:id="95" w:name="_Toc1707"/>
      <w:bookmarkStart w:id="96" w:name="_Toc15396625"/>
      <w:r>
        <w:rPr>
          <w:rStyle w:val="31"/>
          <w:rFonts w:hint="eastAsia" w:ascii="仿宋" w:hAnsi="仿宋" w:eastAsia="仿宋"/>
          <w:b w:val="0"/>
          <w:bCs w:val="0"/>
        </w:rPr>
        <w:t>七、</w:t>
      </w:r>
      <w:r>
        <w:rPr>
          <w:rFonts w:hint="eastAsia" w:ascii="仿宋" w:hAnsi="仿宋" w:eastAsia="仿宋"/>
          <w:b w:val="0"/>
        </w:rPr>
        <w:t>一</w:t>
      </w:r>
      <w:r>
        <w:rPr>
          <w:rStyle w:val="31"/>
          <w:rFonts w:hint="eastAsia" w:ascii="仿宋" w:hAnsi="仿宋" w:eastAsia="仿宋"/>
          <w:b w:val="0"/>
          <w:bCs w:val="0"/>
        </w:rPr>
        <w:t>般公共预算</w:t>
      </w:r>
      <w:r>
        <w:rPr>
          <w:rFonts w:hint="eastAsia" w:ascii="仿宋" w:hAnsi="仿宋" w:eastAsia="仿宋"/>
          <w:b w:val="0"/>
          <w:bCs w:val="0"/>
        </w:rPr>
        <w:t>财政拨款支出决算明细表</w:t>
      </w:r>
      <w:bookmarkEnd w:id="95"/>
      <w:bookmarkEnd w:id="96"/>
    </w:p>
    <w:p>
      <w:pPr>
        <w:pStyle w:val="14"/>
        <w:spacing w:before="0" w:after="0" w:line="640" w:lineRule="exact"/>
        <w:rPr>
          <w:rFonts w:ascii="仿宋" w:hAnsi="仿宋" w:eastAsia="仿宋"/>
        </w:rPr>
      </w:pPr>
      <w:bookmarkStart w:id="97" w:name="_Toc15396626"/>
      <w:bookmarkStart w:id="98" w:name="_Toc1095"/>
      <w:r>
        <w:rPr>
          <w:rStyle w:val="31"/>
          <w:rFonts w:hint="eastAsia" w:ascii="仿宋" w:hAnsi="仿宋" w:eastAsia="仿宋"/>
          <w:b w:val="0"/>
          <w:bCs w:val="0"/>
        </w:rPr>
        <w:t>八、</w:t>
      </w:r>
      <w:r>
        <w:rPr>
          <w:rFonts w:hint="eastAsia" w:ascii="仿宋" w:hAnsi="仿宋" w:eastAsia="仿宋"/>
          <w:b w:val="0"/>
        </w:rPr>
        <w:t>一</w:t>
      </w:r>
      <w:r>
        <w:rPr>
          <w:rStyle w:val="31"/>
          <w:rFonts w:hint="eastAsia" w:ascii="仿宋" w:hAnsi="仿宋" w:eastAsia="仿宋"/>
          <w:b w:val="0"/>
          <w:bCs w:val="0"/>
        </w:rPr>
        <w:t>般公共预算</w:t>
      </w:r>
      <w:r>
        <w:rPr>
          <w:rFonts w:hint="eastAsia" w:ascii="仿宋" w:hAnsi="仿宋" w:eastAsia="仿宋"/>
          <w:b w:val="0"/>
          <w:bCs w:val="0"/>
        </w:rPr>
        <w:t>财政拨款基本支出决算表</w:t>
      </w:r>
      <w:bookmarkEnd w:id="97"/>
      <w:bookmarkEnd w:id="98"/>
    </w:p>
    <w:p>
      <w:pPr>
        <w:pStyle w:val="14"/>
        <w:spacing w:before="0" w:after="0" w:line="640" w:lineRule="exact"/>
        <w:rPr>
          <w:rFonts w:ascii="仿宋" w:hAnsi="仿宋" w:eastAsia="仿宋"/>
        </w:rPr>
      </w:pPr>
      <w:bookmarkStart w:id="99" w:name="_Toc4139"/>
      <w:bookmarkStart w:id="100" w:name="_Toc15396627"/>
      <w:r>
        <w:rPr>
          <w:rStyle w:val="31"/>
          <w:rFonts w:hint="eastAsia" w:ascii="仿宋" w:hAnsi="仿宋" w:eastAsia="仿宋"/>
          <w:b w:val="0"/>
          <w:bCs w:val="0"/>
        </w:rPr>
        <w:t>九、</w:t>
      </w:r>
      <w:r>
        <w:rPr>
          <w:rFonts w:hint="eastAsia" w:ascii="仿宋" w:hAnsi="仿宋" w:eastAsia="仿宋"/>
          <w:b w:val="0"/>
        </w:rPr>
        <w:t>一</w:t>
      </w:r>
      <w:r>
        <w:rPr>
          <w:rStyle w:val="31"/>
          <w:rFonts w:hint="eastAsia" w:ascii="仿宋" w:hAnsi="仿宋" w:eastAsia="仿宋"/>
          <w:b w:val="0"/>
          <w:bCs w:val="0"/>
        </w:rPr>
        <w:t>般公共预算</w:t>
      </w:r>
      <w:r>
        <w:rPr>
          <w:rFonts w:hint="eastAsia" w:ascii="仿宋" w:hAnsi="仿宋" w:eastAsia="仿宋"/>
          <w:b w:val="0"/>
          <w:bCs w:val="0"/>
        </w:rPr>
        <w:t>财政拨款项目支出决算表</w:t>
      </w:r>
      <w:bookmarkEnd w:id="99"/>
      <w:bookmarkEnd w:id="100"/>
    </w:p>
    <w:p>
      <w:pPr>
        <w:pStyle w:val="14"/>
        <w:spacing w:before="0" w:after="0" w:line="640" w:lineRule="exact"/>
        <w:rPr>
          <w:rFonts w:ascii="仿宋" w:hAnsi="仿宋" w:eastAsia="仿宋"/>
        </w:rPr>
      </w:pPr>
      <w:bookmarkStart w:id="101" w:name="_Toc15396628"/>
      <w:bookmarkStart w:id="102" w:name="_Toc27976"/>
      <w:r>
        <w:rPr>
          <w:rStyle w:val="31"/>
          <w:rFonts w:hint="eastAsia" w:ascii="仿宋" w:hAnsi="仿宋" w:eastAsia="仿宋"/>
          <w:b w:val="0"/>
          <w:bCs w:val="0"/>
        </w:rPr>
        <w:t>十、</w:t>
      </w:r>
      <w:r>
        <w:rPr>
          <w:rFonts w:hint="eastAsia" w:ascii="仿宋" w:hAnsi="仿宋" w:eastAsia="仿宋"/>
          <w:b w:val="0"/>
        </w:rPr>
        <w:t>一</w:t>
      </w:r>
      <w:r>
        <w:rPr>
          <w:rStyle w:val="31"/>
          <w:rFonts w:hint="eastAsia" w:ascii="仿宋" w:hAnsi="仿宋" w:eastAsia="仿宋"/>
          <w:b w:val="0"/>
          <w:bCs w:val="0"/>
        </w:rPr>
        <w:t>般公共预算</w:t>
      </w:r>
      <w:r>
        <w:rPr>
          <w:rFonts w:hint="eastAsia" w:ascii="仿宋" w:hAnsi="仿宋" w:eastAsia="仿宋"/>
          <w:b w:val="0"/>
          <w:bCs w:val="0"/>
        </w:rPr>
        <w:t>财政拨款“三公”经费支出决算表</w:t>
      </w:r>
      <w:bookmarkEnd w:id="101"/>
      <w:bookmarkEnd w:id="102"/>
    </w:p>
    <w:p>
      <w:pPr>
        <w:pStyle w:val="14"/>
        <w:spacing w:before="0" w:after="0" w:line="640" w:lineRule="exact"/>
        <w:rPr>
          <w:rFonts w:ascii="仿宋" w:hAnsi="仿宋" w:eastAsia="仿宋"/>
        </w:rPr>
      </w:pPr>
      <w:bookmarkStart w:id="103" w:name="_Toc15396629"/>
      <w:bookmarkStart w:id="104" w:name="_Toc26305"/>
      <w:r>
        <w:rPr>
          <w:rStyle w:val="31"/>
          <w:rFonts w:hint="eastAsia" w:ascii="仿宋" w:hAnsi="仿宋" w:eastAsia="仿宋"/>
          <w:b w:val="0"/>
          <w:bCs w:val="0"/>
        </w:rPr>
        <w:t>十一、</w:t>
      </w:r>
      <w:r>
        <w:rPr>
          <w:rFonts w:hint="eastAsia" w:ascii="仿宋" w:hAnsi="仿宋" w:eastAsia="仿宋"/>
          <w:b w:val="0"/>
        </w:rPr>
        <w:t>政</w:t>
      </w:r>
      <w:r>
        <w:rPr>
          <w:rStyle w:val="31"/>
          <w:rFonts w:hint="eastAsia" w:ascii="仿宋" w:hAnsi="仿宋" w:eastAsia="仿宋"/>
          <w:b w:val="0"/>
          <w:bCs w:val="0"/>
        </w:rPr>
        <w:t>府性基金预算</w:t>
      </w:r>
      <w:r>
        <w:rPr>
          <w:rFonts w:hint="eastAsia" w:ascii="仿宋" w:hAnsi="仿宋" w:eastAsia="仿宋"/>
          <w:b w:val="0"/>
          <w:bCs w:val="0"/>
        </w:rPr>
        <w:t>财政拨款收入支出决算表</w:t>
      </w:r>
      <w:bookmarkEnd w:id="103"/>
      <w:bookmarkEnd w:id="104"/>
    </w:p>
    <w:p>
      <w:pPr>
        <w:pStyle w:val="14"/>
        <w:spacing w:before="0" w:after="0" w:line="640" w:lineRule="exact"/>
        <w:rPr>
          <w:rFonts w:ascii="仿宋" w:hAnsi="仿宋" w:eastAsia="仿宋"/>
        </w:rPr>
      </w:pPr>
      <w:bookmarkStart w:id="105" w:name="_Toc15396630"/>
      <w:bookmarkStart w:id="106" w:name="_Toc20059"/>
      <w:r>
        <w:rPr>
          <w:rStyle w:val="31"/>
          <w:rFonts w:hint="eastAsia" w:ascii="仿宋" w:hAnsi="仿宋" w:eastAsia="仿宋"/>
          <w:b w:val="0"/>
          <w:bCs w:val="0"/>
        </w:rPr>
        <w:t>十二、</w:t>
      </w:r>
      <w:r>
        <w:rPr>
          <w:rFonts w:hint="eastAsia" w:ascii="仿宋" w:hAnsi="仿宋" w:eastAsia="仿宋"/>
          <w:b w:val="0"/>
        </w:rPr>
        <w:t>政</w:t>
      </w:r>
      <w:r>
        <w:rPr>
          <w:rStyle w:val="31"/>
          <w:rFonts w:hint="eastAsia" w:ascii="仿宋" w:hAnsi="仿宋" w:eastAsia="仿宋"/>
          <w:b w:val="0"/>
          <w:bCs w:val="0"/>
        </w:rPr>
        <w:t>府性基金预算</w:t>
      </w:r>
      <w:r>
        <w:rPr>
          <w:rFonts w:hint="eastAsia" w:ascii="仿宋" w:hAnsi="仿宋" w:eastAsia="仿宋"/>
          <w:b w:val="0"/>
          <w:bCs w:val="0"/>
        </w:rPr>
        <w:t>财政拨款“三公”经费支出决算表</w:t>
      </w:r>
      <w:bookmarkEnd w:id="105"/>
      <w:bookmarkEnd w:id="106"/>
    </w:p>
    <w:p>
      <w:pPr>
        <w:pStyle w:val="14"/>
        <w:spacing w:before="0" w:after="0" w:line="640" w:lineRule="exact"/>
        <w:rPr>
          <w:rStyle w:val="31"/>
          <w:rFonts w:ascii="仿宋" w:hAnsi="仿宋" w:eastAsia="仿宋"/>
          <w:b w:val="0"/>
          <w:bCs w:val="0"/>
        </w:rPr>
      </w:pPr>
      <w:bookmarkStart w:id="107" w:name="_Toc15396631"/>
      <w:bookmarkStart w:id="108" w:name="_Toc18482"/>
      <w:r>
        <w:rPr>
          <w:rStyle w:val="31"/>
          <w:rFonts w:hint="eastAsia" w:ascii="仿宋" w:hAnsi="仿宋" w:eastAsia="仿宋"/>
          <w:b w:val="0"/>
          <w:bCs w:val="0"/>
        </w:rPr>
        <w:t>十三、</w:t>
      </w:r>
      <w:r>
        <w:rPr>
          <w:rFonts w:hint="eastAsia" w:ascii="仿宋" w:hAnsi="仿宋" w:eastAsia="仿宋"/>
          <w:b w:val="0"/>
        </w:rPr>
        <w:t>国</w:t>
      </w:r>
      <w:r>
        <w:rPr>
          <w:rStyle w:val="31"/>
          <w:rFonts w:hint="eastAsia" w:ascii="仿宋" w:hAnsi="仿宋" w:eastAsia="仿宋"/>
          <w:b w:val="0"/>
          <w:bCs w:val="0"/>
        </w:rPr>
        <w:t>有资本经营预算</w:t>
      </w:r>
      <w:r>
        <w:rPr>
          <w:rFonts w:hint="eastAsia" w:ascii="仿宋" w:hAnsi="仿宋" w:eastAsia="仿宋"/>
          <w:b w:val="0"/>
          <w:bCs w:val="0"/>
        </w:rPr>
        <w:t>财政拨款收入支出决算表</w:t>
      </w:r>
      <w:bookmarkEnd w:id="107"/>
      <w:bookmarkEnd w:id="108"/>
    </w:p>
    <w:p>
      <w:pPr>
        <w:spacing w:line="640" w:lineRule="exact"/>
        <w:rPr>
          <w:rFonts w:eastAsia="仿宋"/>
          <w:sz w:val="32"/>
          <w:szCs w:val="32"/>
        </w:rPr>
      </w:pPr>
      <w:bookmarkStart w:id="109" w:name="_Toc683"/>
      <w:r>
        <w:rPr>
          <w:rStyle w:val="31"/>
          <w:rFonts w:hint="eastAsia" w:ascii="仿宋" w:hAnsi="仿宋" w:eastAsia="仿宋"/>
          <w:b w:val="0"/>
          <w:bCs w:val="0"/>
        </w:rPr>
        <w:t>十四、国有资本经营预算</w:t>
      </w:r>
      <w:r>
        <w:rPr>
          <w:rFonts w:hint="eastAsia" w:ascii="仿宋" w:hAnsi="仿宋" w:eastAsia="仿宋"/>
          <w:sz w:val="32"/>
          <w:szCs w:val="32"/>
        </w:rPr>
        <w:t>财政拨款支出决算表</w:t>
      </w:r>
      <w:bookmarkEnd w:id="109"/>
    </w:p>
    <w:sectPr>
      <w:headerReference r:id="rId5" w:type="default"/>
      <w:footerReference r:id="rId6" w:type="default"/>
      <w:pgSz w:w="11906" w:h="16838"/>
      <w:pgMar w:top="1440" w:right="1800" w:bottom="1440" w:left="1800" w:header="851" w:footer="992" w:gutter="0"/>
      <w:pgNumType w:start="1"/>
      <w:cols w:space="425" w:num="1"/>
      <w:titlePg/>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3-02-23T14:12:00Z" w:initials="A">
    <w:p w14:paraId="11E7499D">
      <w:r>
        <w:t xml:space="preserve">检测时间：2023-02-23 14:12:35 </w:t>
      </w:r>
    </w:p>
    <w:p w14:paraId="0D1B3E7A">
      <w:r>
        <w:t xml:space="preserve">错误词：） </w:t>
      </w:r>
    </w:p>
    <w:p w14:paraId="06C23615">
      <w:r>
        <w:t>建议词：[]</w:t>
      </w:r>
    </w:p>
    <w:p w14:paraId="0D51535E">
      <w:r>
        <w:t>错误类型：标点符号差错</w:t>
      </w:r>
    </w:p>
    <w:p w14:paraId="1E232D15">
      <w:r>
        <w:t xml:space="preserve">可信度：疑错 </w:t>
      </w:r>
    </w:p>
    <w:p w14:paraId="16406E5B">
      <w:r>
        <w:t>处理建议：重点检查</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6406E5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7"/>
          <w:jc w:val="center"/>
        </w:pPr>
        <w:r>
          <w:fldChar w:fldCharType="begin"/>
        </w:r>
        <w:r>
          <w:instrText xml:space="preserve">PAGE   \* MERGEFORMAT</w:instrText>
        </w:r>
        <w:r>
          <w:fldChar w:fldCharType="separate"/>
        </w:r>
        <w:r>
          <w:rPr>
            <w:lang w:val="zh-CN"/>
          </w:rPr>
          <w:t>16</w:t>
        </w:r>
        <w:r>
          <w:rPr>
            <w:lang w:val="zh-CN"/>
          </w:rPr>
          <w:fldChar w:fldCharType="end"/>
        </w:r>
      </w:p>
    </w:sdtContent>
  </w:sdt>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57A3C"/>
    <w:multiLevelType w:val="singleLevel"/>
    <w:tmpl w:val="35D57A3C"/>
    <w:lvl w:ilvl="0" w:tentative="0">
      <w:start w:val="1"/>
      <w:numFmt w:val="chineseCounting"/>
      <w:suff w:val="nothing"/>
      <w:lvlText w:val="（%1）"/>
      <w:lvlJc w:val="left"/>
      <w:rPr>
        <w:rFonts w:hint="eastAsia"/>
        <w:lang w:val="en-US"/>
      </w:rPr>
    </w:lvl>
  </w:abstractNum>
  <w:abstractNum w:abstractNumId="1">
    <w:nsid w:val="3A092866"/>
    <w:multiLevelType w:val="singleLevel"/>
    <w:tmpl w:val="3A092866"/>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46EA4920"/>
    <w:multiLevelType w:val="singleLevel"/>
    <w:tmpl w:val="46EA4920"/>
    <w:lvl w:ilvl="0" w:tentative="0">
      <w:start w:val="9"/>
      <w:numFmt w:val="chineseCounting"/>
      <w:suff w:val="nothing"/>
      <w:lvlText w:val="%1、"/>
      <w:lvlJc w:val="left"/>
      <w:rPr>
        <w:rFonts w:hint="eastAsia"/>
      </w:rPr>
    </w:lvl>
  </w:abstractNum>
  <w:abstractNum w:abstractNumId="3">
    <w:nsid w:val="4C063E6D"/>
    <w:multiLevelType w:val="singleLevel"/>
    <w:tmpl w:val="4C063E6D"/>
    <w:lvl w:ilvl="0" w:tentative="0">
      <w:start w:val="3"/>
      <w:numFmt w:val="decimal"/>
      <w:lvlText w:val="%1."/>
      <w:lvlJc w:val="left"/>
      <w:pPr>
        <w:tabs>
          <w:tab w:val="left" w:pos="312"/>
        </w:tabs>
      </w:pPr>
    </w:lvl>
  </w:abstractNum>
  <w:abstractNum w:abstractNumId="4">
    <w:nsid w:val="5AC87D6C"/>
    <w:multiLevelType w:val="multilevel"/>
    <w:tmpl w:val="5AC87D6C"/>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4"/>
  </w:num>
  <w:num w:numId="3">
    <w:abstractNumId w:val="3"/>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dit="trackedChange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ViMTY2MzAwNzZjNjc3NDcyZjNiODJhNzZkNmE1YzIifQ=="/>
  </w:docVars>
  <w:rsids>
    <w:rsidRoot w:val="00072CD5"/>
    <w:rsid w:val="00072CD5"/>
    <w:rsid w:val="00F93582"/>
    <w:rsid w:val="00FF446B"/>
    <w:rsid w:val="22E94881"/>
    <w:rsid w:val="663405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qFormat/>
    <w:uiPriority w:val="99"/>
    <w:pPr>
      <w:spacing w:beforeLines="30"/>
    </w:pPr>
    <w:rPr>
      <w:rFonts w:ascii="仿宋_GB2312" w:eastAsia="仿宋_GB2312"/>
      <w:kern w:val="0"/>
      <w:sz w:val="30"/>
    </w:rPr>
  </w:style>
  <w:style w:type="paragraph" w:styleId="4">
    <w:name w:val="Balloon Text"/>
    <w:basedOn w:val="1"/>
    <w:semiHidden/>
    <w:unhideWhenUsed/>
    <w:qFormat/>
    <w:uiPriority w:val="99"/>
    <w:rPr>
      <w:sz w:val="18"/>
      <w:szCs w:val="18"/>
    </w:rPr>
  </w:style>
  <w:style w:type="paragraph" w:styleId="5">
    <w:name w:val="footer"/>
    <w:basedOn w:val="1"/>
    <w:link w:val="49"/>
    <w:qFormat/>
    <w:uiPriority w:val="99"/>
    <w:pPr>
      <w:tabs>
        <w:tab w:val="center" w:pos="4153"/>
        <w:tab w:val="right" w:pos="8306"/>
      </w:tabs>
      <w:snapToGrid w:val="0"/>
      <w:jc w:val="left"/>
    </w:pPr>
    <w:rPr>
      <w:sz w:val="18"/>
      <w:szCs w:val="18"/>
    </w:rPr>
  </w:style>
  <w:style w:type="paragraph" w:styleId="6">
    <w:name w:val="header"/>
    <w:basedOn w:val="1"/>
    <w:link w:val="48"/>
    <w:semiHidden/>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0">
    <w:name w:val="Strong"/>
    <w:basedOn w:val="9"/>
    <w:qFormat/>
    <w:uiPriority w:val="99"/>
    <w:rPr>
      <w:b/>
    </w:rPr>
  </w:style>
  <w:style w:type="character" w:styleId="11">
    <w:name w:val="Hyperlink"/>
    <w:basedOn w:val="9"/>
    <w:unhideWhenUsed/>
    <w:qFormat/>
    <w:uiPriority w:val="99"/>
    <w:rPr>
      <w:color w:val="0000FF" w:themeColor="hyperlink"/>
      <w:u w:val="single"/>
    </w:rPr>
  </w:style>
  <w:style w:type="character" w:styleId="12">
    <w:name w:val="annotation reference"/>
    <w:basedOn w:val="9"/>
    <w:semiHidden/>
    <w:unhideWhenUsed/>
    <w:uiPriority w:val="99"/>
    <w:rPr>
      <w:sz w:val="21"/>
      <w:szCs w:val="21"/>
    </w:rPr>
  </w:style>
  <w:style w:type="paragraph" w:customStyle="1" w:styleId="13">
    <w:name w:val="Heading 1"/>
    <w:basedOn w:val="1"/>
    <w:next w:val="1"/>
    <w:link w:val="30"/>
    <w:qFormat/>
    <w:uiPriority w:val="9"/>
    <w:pPr>
      <w:keepNext/>
      <w:keepLines/>
      <w:spacing w:before="340" w:after="330" w:line="578" w:lineRule="auto"/>
      <w:outlineLvl w:val="0"/>
    </w:pPr>
    <w:rPr>
      <w:b/>
      <w:bCs/>
      <w:kern w:val="44"/>
      <w:sz w:val="44"/>
      <w:szCs w:val="44"/>
    </w:rPr>
  </w:style>
  <w:style w:type="paragraph" w:customStyle="1" w:styleId="14">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customStyle="1" w:styleId="15">
    <w:name w:val="Heading 3"/>
    <w:basedOn w:val="1"/>
    <w:next w:val="1"/>
    <w:link w:val="34"/>
    <w:unhideWhenUsed/>
    <w:qFormat/>
    <w:uiPriority w:val="9"/>
    <w:pPr>
      <w:keepNext/>
      <w:keepLines/>
      <w:spacing w:before="260" w:after="260" w:line="416" w:lineRule="auto"/>
      <w:outlineLvl w:val="2"/>
    </w:pPr>
    <w:rPr>
      <w:b/>
      <w:bCs/>
      <w:sz w:val="32"/>
      <w:szCs w:val="32"/>
    </w:rPr>
  </w:style>
  <w:style w:type="paragraph" w:customStyle="1" w:styleId="16">
    <w:name w:val="TOC 3"/>
    <w:basedOn w:val="1"/>
    <w:next w:val="1"/>
    <w:unhideWhenUsed/>
    <w:qFormat/>
    <w:uiPriority w:val="39"/>
    <w:pPr>
      <w:tabs>
        <w:tab w:val="right" w:leader="dot" w:pos="8296"/>
      </w:tabs>
      <w:ind w:left="840" w:leftChars="400"/>
    </w:pPr>
  </w:style>
  <w:style w:type="paragraph" w:customStyle="1" w:styleId="17">
    <w:name w:val="Footer"/>
    <w:basedOn w:val="1"/>
    <w:qFormat/>
    <w:uiPriority w:val="99"/>
    <w:pPr>
      <w:tabs>
        <w:tab w:val="center" w:pos="4153"/>
        <w:tab w:val="right" w:pos="8306"/>
      </w:tabs>
      <w:snapToGrid w:val="0"/>
      <w:jc w:val="left"/>
    </w:pPr>
    <w:rPr>
      <w:rFonts w:ascii="Calibri" w:hAnsi="Calibri"/>
      <w:kern w:val="0"/>
      <w:sz w:val="18"/>
      <w:szCs w:val="18"/>
    </w:rPr>
  </w:style>
  <w:style w:type="paragraph" w:customStyle="1" w:styleId="18">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customStyle="1" w:styleId="19">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20">
    <w:name w:val="TOC 2"/>
    <w:basedOn w:val="1"/>
    <w:next w:val="1"/>
    <w:unhideWhenUsed/>
    <w:qFormat/>
    <w:uiPriority w:val="39"/>
    <w:pPr>
      <w:tabs>
        <w:tab w:val="right" w:leader="dot" w:pos="8296"/>
      </w:tabs>
      <w:ind w:left="420" w:leftChars="200"/>
    </w:pPr>
  </w:style>
  <w:style w:type="character" w:customStyle="1" w:styleId="21">
    <w:name w:val="Page Number"/>
    <w:basedOn w:val="9"/>
    <w:qFormat/>
    <w:uiPriority w:val="0"/>
  </w:style>
  <w:style w:type="character" w:customStyle="1" w:styleId="22">
    <w:name w:val="Header Char"/>
    <w:basedOn w:val="9"/>
    <w:semiHidden/>
    <w:qFormat/>
    <w:uiPriority w:val="99"/>
    <w:rPr>
      <w:rFonts w:ascii="Times New Roman" w:hAnsi="Times New Roman"/>
      <w:sz w:val="18"/>
      <w:szCs w:val="18"/>
    </w:rPr>
  </w:style>
  <w:style w:type="character" w:customStyle="1" w:styleId="23">
    <w:name w:val="页眉 字符"/>
    <w:semiHidden/>
    <w:qFormat/>
    <w:locked/>
    <w:uiPriority w:val="99"/>
    <w:rPr>
      <w:sz w:val="18"/>
    </w:rPr>
  </w:style>
  <w:style w:type="character" w:customStyle="1" w:styleId="24">
    <w:name w:val="Footer Char"/>
    <w:basedOn w:val="9"/>
    <w:semiHidden/>
    <w:qFormat/>
    <w:uiPriority w:val="99"/>
    <w:rPr>
      <w:rFonts w:ascii="Times New Roman" w:hAnsi="Times New Roman"/>
      <w:sz w:val="18"/>
      <w:szCs w:val="18"/>
    </w:rPr>
  </w:style>
  <w:style w:type="character" w:customStyle="1" w:styleId="25">
    <w:name w:val="页脚 字符"/>
    <w:qFormat/>
    <w:locked/>
    <w:uiPriority w:val="99"/>
    <w:rPr>
      <w:sz w:val="18"/>
    </w:rPr>
  </w:style>
  <w:style w:type="character" w:customStyle="1" w:styleId="26">
    <w:name w:val="Body Text Char"/>
    <w:basedOn w:val="9"/>
    <w:semiHidden/>
    <w:qFormat/>
    <w:uiPriority w:val="99"/>
    <w:rPr>
      <w:rFonts w:ascii="Times New Roman" w:hAnsi="Times New Roman"/>
      <w:szCs w:val="24"/>
    </w:rPr>
  </w:style>
  <w:style w:type="character" w:customStyle="1" w:styleId="27">
    <w:name w:val="正文文本 字符"/>
    <w:qFormat/>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9">
    <w:name w:val="List Paragraph"/>
    <w:basedOn w:val="1"/>
    <w:qFormat/>
    <w:uiPriority w:val="34"/>
    <w:pPr>
      <w:ind w:firstLine="420" w:firstLineChars="200"/>
    </w:pPr>
  </w:style>
  <w:style w:type="character" w:customStyle="1" w:styleId="30">
    <w:name w:val="标题 1 字符"/>
    <w:basedOn w:val="9"/>
    <w:link w:val="13"/>
    <w:qFormat/>
    <w:uiPriority w:val="9"/>
    <w:rPr>
      <w:rFonts w:ascii="Times New Roman" w:hAnsi="Times New Roman"/>
      <w:b/>
      <w:bCs/>
      <w:kern w:val="44"/>
      <w:sz w:val="44"/>
      <w:szCs w:val="44"/>
    </w:rPr>
  </w:style>
  <w:style w:type="character" w:customStyle="1" w:styleId="31">
    <w:name w:val="标题 2 字符"/>
    <w:basedOn w:val="9"/>
    <w:link w:val="14"/>
    <w:qFormat/>
    <w:uiPriority w:val="9"/>
    <w:rPr>
      <w:rFonts w:asciiTheme="majorHAnsi" w:hAnsiTheme="majorHAnsi" w:eastAsiaTheme="majorEastAsia" w:cstheme="majorBidi"/>
      <w:b/>
      <w:bCs/>
      <w:kern w:val="2"/>
      <w:sz w:val="32"/>
      <w:szCs w:val="32"/>
    </w:rPr>
  </w:style>
  <w:style w:type="paragraph" w:customStyle="1" w:styleId="32">
    <w:name w:val="TOC 标题1"/>
    <w:basedOn w:val="1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3">
    <w:name w:val="批注框文本 字符"/>
    <w:basedOn w:val="9"/>
    <w:semiHidden/>
    <w:qFormat/>
    <w:uiPriority w:val="99"/>
    <w:rPr>
      <w:rFonts w:ascii="Times New Roman" w:hAnsi="Times New Roman"/>
      <w:kern w:val="2"/>
      <w:sz w:val="18"/>
      <w:szCs w:val="18"/>
    </w:rPr>
  </w:style>
  <w:style w:type="character" w:customStyle="1" w:styleId="34">
    <w:name w:val="标题 3 字符"/>
    <w:basedOn w:val="9"/>
    <w:link w:val="15"/>
    <w:qFormat/>
    <w:uiPriority w:val="9"/>
    <w:rPr>
      <w:rFonts w:ascii="Times New Roman" w:hAnsi="Times New Roman"/>
      <w:b/>
      <w:bCs/>
      <w:kern w:val="2"/>
      <w:sz w:val="32"/>
      <w:szCs w:val="32"/>
    </w:rPr>
  </w:style>
  <w:style w:type="paragraph" w:customStyle="1" w:styleId="35">
    <w:name w:val="TOC 标题2"/>
    <w:basedOn w:val="1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6">
    <w:name w:val="font21"/>
    <w:basedOn w:val="9"/>
    <w:qFormat/>
    <w:uiPriority w:val="0"/>
    <w:rPr>
      <w:rFonts w:hint="eastAsia" w:ascii="宋体" w:hAnsi="宋体" w:eastAsia="宋体" w:cs="宋体"/>
      <w:color w:val="000000"/>
      <w:sz w:val="20"/>
      <w:szCs w:val="20"/>
      <w:u w:val="none"/>
    </w:rPr>
  </w:style>
  <w:style w:type="paragraph" w:customStyle="1" w:styleId="37">
    <w:name w:val="四号正文"/>
    <w:basedOn w:val="1"/>
    <w:qFormat/>
    <w:uiPriority w:val="0"/>
    <w:pPr>
      <w:spacing w:line="360" w:lineRule="auto"/>
    </w:pPr>
    <w:rPr>
      <w:rFonts w:ascii="??" w:hAnsi="??" w:cs="宋体"/>
      <w:color w:val="000000"/>
      <w:kern w:val="0"/>
      <w:sz w:val="28"/>
      <w:szCs w:val="21"/>
    </w:rPr>
  </w:style>
  <w:style w:type="character" w:customStyle="1" w:styleId="38">
    <w:name w:val="font31"/>
    <w:basedOn w:val="9"/>
    <w:qFormat/>
    <w:uiPriority w:val="0"/>
    <w:rPr>
      <w:rFonts w:hint="eastAsia" w:ascii="宋体" w:hAnsi="宋体" w:eastAsia="宋体" w:cs="宋体"/>
      <w:color w:val="000000"/>
      <w:sz w:val="20"/>
      <w:szCs w:val="20"/>
      <w:u w:val="none"/>
    </w:rPr>
  </w:style>
  <w:style w:type="character" w:customStyle="1" w:styleId="39">
    <w:name w:val="font41"/>
    <w:basedOn w:val="9"/>
    <w:qFormat/>
    <w:uiPriority w:val="0"/>
    <w:rPr>
      <w:rFonts w:hint="eastAsia" w:ascii="宋体" w:hAnsi="宋体" w:eastAsia="宋体" w:cs="宋体"/>
      <w:color w:val="000000"/>
      <w:sz w:val="32"/>
      <w:szCs w:val="32"/>
      <w:u w:val="none"/>
    </w:rPr>
  </w:style>
  <w:style w:type="character" w:customStyle="1" w:styleId="40">
    <w:name w:val="font51"/>
    <w:basedOn w:val="9"/>
    <w:qFormat/>
    <w:uiPriority w:val="0"/>
    <w:rPr>
      <w:rFonts w:hint="eastAsia" w:ascii="宋体" w:hAnsi="宋体" w:eastAsia="宋体" w:cs="宋体"/>
      <w:color w:val="000000"/>
      <w:sz w:val="20"/>
      <w:szCs w:val="20"/>
      <w:u w:val="none"/>
    </w:rPr>
  </w:style>
  <w:style w:type="paragraph" w:customStyle="1" w:styleId="41">
    <w:name w:val="WPSOffice手动目录 1"/>
    <w:qFormat/>
    <w:uiPriority w:val="0"/>
    <w:rPr>
      <w:rFonts w:ascii="Times New Roman" w:hAnsi="Times New Roman" w:eastAsia="宋体" w:cs="Times New Roman"/>
      <w:lang w:val="en-US" w:eastAsia="zh-CN" w:bidi="ar-SA"/>
    </w:rPr>
  </w:style>
  <w:style w:type="paragraph" w:customStyle="1" w:styleId="42">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43">
    <w:name w:val="批注文字 Char"/>
    <w:basedOn w:val="9"/>
    <w:semiHidden/>
    <w:uiPriority w:val="99"/>
    <w:rPr>
      <w:kern w:val="2"/>
      <w:sz w:val="21"/>
      <w:szCs w:val="24"/>
    </w:rPr>
  </w:style>
  <w:style w:type="paragraph" w:customStyle="1" w:styleId="44">
    <w:name w:val="Header0"/>
    <w:basedOn w:val="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45">
    <w:name w:val="页眉 Char"/>
    <w:basedOn w:val="9"/>
    <w:semiHidden/>
    <w:uiPriority w:val="99"/>
    <w:rPr>
      <w:kern w:val="2"/>
      <w:sz w:val="18"/>
      <w:szCs w:val="18"/>
    </w:rPr>
  </w:style>
  <w:style w:type="paragraph" w:customStyle="1" w:styleId="46">
    <w:name w:val="Footer0"/>
    <w:basedOn w:val="1"/>
    <w:qFormat/>
    <w:uiPriority w:val="99"/>
    <w:pPr>
      <w:tabs>
        <w:tab w:val="center" w:pos="4153"/>
        <w:tab w:val="right" w:pos="8306"/>
      </w:tabs>
      <w:snapToGrid w:val="0"/>
      <w:jc w:val="left"/>
    </w:pPr>
    <w:rPr>
      <w:sz w:val="18"/>
      <w:szCs w:val="18"/>
    </w:rPr>
  </w:style>
  <w:style w:type="character" w:customStyle="1" w:styleId="47">
    <w:name w:val="页脚 Char"/>
    <w:basedOn w:val="9"/>
    <w:qFormat/>
    <w:uiPriority w:val="99"/>
    <w:rPr>
      <w:kern w:val="2"/>
      <w:sz w:val="18"/>
      <w:szCs w:val="18"/>
    </w:rPr>
  </w:style>
  <w:style w:type="character" w:customStyle="1" w:styleId="48">
    <w:name w:val="页眉 Char1"/>
    <w:basedOn w:val="9"/>
    <w:link w:val="6"/>
    <w:semiHidden/>
    <w:qFormat/>
    <w:uiPriority w:val="99"/>
    <w:rPr>
      <w:kern w:val="2"/>
      <w:sz w:val="18"/>
      <w:szCs w:val="18"/>
    </w:rPr>
  </w:style>
  <w:style w:type="character" w:customStyle="1" w:styleId="49">
    <w:name w:val="页脚 Char1"/>
    <w:basedOn w:val="9"/>
    <w:link w:val="5"/>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0" Type="http://schemas.microsoft.com/office/2011/relationships/people" Target="people.xml"/><Relationship Id="rId3" Type="http://schemas.openxmlformats.org/officeDocument/2006/relationships/comments" Target="comments.xml"/><Relationship Id="rId29" Type="http://schemas.openxmlformats.org/officeDocument/2006/relationships/fontTable" Target="fontTable.xml"/><Relationship Id="rId28" Type="http://schemas.openxmlformats.org/officeDocument/2006/relationships/customXml" Target="../customXml/item14.xml"/><Relationship Id="rId27" Type="http://schemas.openxmlformats.org/officeDocument/2006/relationships/customXml" Target="../customXml/item13.xml"/><Relationship Id="rId26" Type="http://schemas.openxmlformats.org/officeDocument/2006/relationships/customXml" Target="../customXml/item12.xml"/><Relationship Id="rId25" Type="http://schemas.openxmlformats.org/officeDocument/2006/relationships/customXml" Target="../customXml/item11.xml"/><Relationship Id="rId24" Type="http://schemas.openxmlformats.org/officeDocument/2006/relationships/customXml" Target="../customXml/item10.xml"/><Relationship Id="rId23" Type="http://schemas.openxmlformats.org/officeDocument/2006/relationships/customXml" Target="../customXml/item9.xml"/><Relationship Id="rId22" Type="http://schemas.openxmlformats.org/officeDocument/2006/relationships/customXml" Target="../customXml/item8.xml"/><Relationship Id="rId21" Type="http://schemas.openxmlformats.org/officeDocument/2006/relationships/customXml" Target="../customXml/item7.xml"/><Relationship Id="rId20" Type="http://schemas.openxmlformats.org/officeDocument/2006/relationships/customXml" Target="../customXml/item6.xml"/><Relationship Id="rId2" Type="http://schemas.openxmlformats.org/officeDocument/2006/relationships/settings" Target="settings.xml"/><Relationship Id="rId19" Type="http://schemas.openxmlformats.org/officeDocument/2006/relationships/customXml" Target="../customXml/item5.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lang="zh-CN" altLang="en-US"/>
              <a:t>年、</a:t>
            </a:r>
            <a:r>
              <a:rPr lang="en-US" altLang="zh-CN"/>
              <a:t>2020</a:t>
            </a:r>
            <a:r>
              <a:rPr lang="zh-CN" altLang="en-US"/>
              <a:t>年收、支决算变动情况图</a:t>
            </a:r>
            <a:endParaRPr lang="zh-CN" altLang="en-US"/>
          </a:p>
        </c:rich>
      </c:tx>
      <c:layout/>
      <c:overlay val="0"/>
      <c:spPr>
        <a:noFill/>
        <a:ln>
          <a:noFill/>
        </a:ln>
        <a:effectLst/>
      </c:spPr>
    </c:title>
    <c:autoTitleDeleted val="0"/>
    <c:plotArea>
      <c:layout>
        <c:manualLayout>
          <c:layoutTarget val="inner"/>
          <c:xMode val="edge"/>
          <c:yMode val="edge"/>
          <c:x val="0.0805750000000002"/>
          <c:y val="0.1325"/>
          <c:w val="0.8938"/>
          <c:h val="0.716066666666667"/>
        </c:manualLayout>
      </c:layout>
      <c:barChart>
        <c:barDir val="col"/>
        <c:grouping val="clustered"/>
        <c:varyColors val="0"/>
        <c:ser>
          <c:idx val="0"/>
          <c:order val="0"/>
          <c:tx>
            <c:strRef>
              <c:f>Sheet1!$B$1</c:f>
              <c:strCache>
                <c:ptCount val="1"/>
                <c:pt idx="0">
                  <c:v>2021年收支决算</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345.28</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Sheet1!$B$2</c:f>
              <c:numCache>
                <c:formatCode>General</c:formatCode>
                <c:ptCount val="1"/>
                <c:pt idx="0">
                  <c:v>333.91</c:v>
                </c:pt>
              </c:numCache>
            </c:numRef>
          </c:val>
          <c:extLst>
            <c:ext xmlns:c15="http://schemas.microsoft.com/office/drawing/2012/chart" uri="{02D57815-91ED-43cb-92C2-25804820EDAC}">
              <c15:filteredCategoryTitle>
                <c15:cat>
                  <c:strRef>
                    <c:extLst>
                      <c:ext uri="{02D57815-91ED-43cb-92C2-25804820EDAC}">
                        <c15:formulaRef>
                          <c15:sqref>Sheet1!$A$2</c15:sqref>
                        </c15:formulaRef>
                      </c:ext>
                    </c:extLst>
                    <c:strCache>
                      <c:ptCount val="1"/>
                      <c:pt idx="0">
                        <c:v>类别 1</c:v>
                      </c:pt>
                    </c:strCache>
                  </c:strRef>
                </c15:cat>
              </c15:filteredCategoryTitle>
            </c:ext>
          </c:extLst>
        </c:ser>
        <c:ser>
          <c:idx val="1"/>
          <c:order val="1"/>
          <c:tx>
            <c:strRef>
              <c:f>Sheet1!$C$1</c:f>
              <c:strCache>
                <c:ptCount val="1"/>
                <c:pt idx="0">
                  <c:v>2020年收支决算</c:v>
                </c:pt>
              </c:strCache>
            </c:strRef>
          </c:tx>
          <c:spPr>
            <a:solidFill>
              <a:schemeClr val="accent2"/>
            </a:solidFill>
            <a:ln>
              <a:noFill/>
            </a:ln>
            <a:effectLst/>
          </c:spPr>
          <c:invertIfNegative val="0"/>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325.09</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Sheet1!$C$2</c:f>
              <c:numCache>
                <c:formatCode>General</c:formatCode>
                <c:ptCount val="1"/>
                <c:pt idx="0">
                  <c:v>268.9</c:v>
                </c:pt>
              </c:numCache>
            </c:numRef>
          </c:val>
          <c:extLst>
            <c:ext xmlns:c15="http://schemas.microsoft.com/office/drawing/2012/chart" uri="{02D57815-91ED-43cb-92C2-25804820EDAC}">
              <c15:filteredCategoryTitle>
                <c15:cat>
                  <c:strRef>
                    <c:extLst>
                      <c:ext uri="{02D57815-91ED-43cb-92C2-25804820EDAC}">
                        <c15:formulaRef>
                          <c15:sqref>Sheet1!$A$2</c15:sqref>
                        </c15:formulaRef>
                      </c:ext>
                    </c:extLst>
                    <c:strCache>
                      <c:ptCount val="1"/>
                      <c:pt idx="0">
                        <c:v>类别 1</c:v>
                      </c:pt>
                    </c:strCache>
                  </c:strRef>
                </c15:cat>
              </c15:filteredCategoryTitle>
            </c:ext>
          </c:extLst>
        </c:ser>
        <c:dLbls>
          <c:showLegendKey val="0"/>
          <c:showVal val="0"/>
          <c:showCatName val="0"/>
          <c:showSerName val="0"/>
          <c:showPercent val="0"/>
          <c:showBubbleSize val="0"/>
        </c:dLbls>
        <c:gapWidth val="219"/>
        <c:overlap val="-27"/>
        <c:axId val="196737280"/>
        <c:axId val="196761856"/>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val>
                  <c:numRef>
                    <c:extLst>
                      <c:ext uri="{02D57815-91ED-43cb-92C2-25804820EDAC}">
                        <c15:formulaRef>
                          <c15:sqref>Sheet1!#REF!</c15:sqref>
                        </c15:formulaRef>
                      </c:ext>
                    </c:extLst>
                    <c:numCache>
                      <c:formatCode>General</c:formatCode>
                      <c:ptCount val="1"/>
                      <c:pt idx="0">
                        <c:v>1</c:v>
                      </c:pt>
                    </c:numCache>
                  </c:numRef>
                </c:val>
                <c:extLst>
                  <c:ext xmlns:c15="http://schemas.microsoft.com/office/drawing/2012/chart" uri="{02D57815-91ED-43cb-92C2-25804820EDAC}">
                    <c15:filteredCategoryTitle>
                      <c15:cat>
                        <c:strRef>
                          <c:extLst>
                            <c:ext uri="{02D57815-91ED-43cb-92C2-25804820EDAC}">
                              <c15:formulaRef>
                                <c15:sqref>Sheet1!$A$2</c15:sqref>
                              </c15:formulaRef>
                            </c:ext>
                          </c:extLst>
                          <c:strCache>
                            <c:ptCount val="1"/>
                            <c:pt idx="0">
                              <c:v>类别 1</c:v>
                            </c:pt>
                          </c:strCache>
                        </c:strRef>
                      </c15:cat>
                    </c15:filteredCategoryTitle>
                  </c:ext>
                </c:extLst>
              </c15:ser>
            </c15:filteredBarSeries>
          </c:ext>
        </c:extLst>
      </c:barChart>
      <c:catAx>
        <c:axId val="19673728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6761856"/>
        <c:crosses val="autoZero"/>
        <c:auto val="1"/>
        <c:lblAlgn val="ctr"/>
        <c:lblOffset val="100"/>
        <c:noMultiLvlLbl val="0"/>
      </c:catAx>
      <c:valAx>
        <c:axId val="19676185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6737280"/>
        <c:crosses val="autoZero"/>
        <c:crossBetween val="between"/>
      </c:valAx>
      <c:spPr>
        <a:noFill/>
        <a:ln>
          <a:noFill/>
        </a:ln>
        <a:effectLst/>
      </c:spPr>
    </c:plotArea>
    <c:legend>
      <c:legendPos val="b"/>
      <c:layout>
        <c:manualLayout>
          <c:xMode val="edge"/>
          <c:yMode val="edge"/>
          <c:x val="0.266125"/>
          <c:y val="0.924166666666667"/>
          <c:w val="0.551375"/>
          <c:h val="0.055833333333333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cap="none" spc="20" baseline="0">
                <a:solidFill>
                  <a:schemeClr val="tx1">
                    <a:lumMod val="50000"/>
                    <a:lumOff val="50000"/>
                  </a:schemeClr>
                </a:solidFill>
                <a:latin typeface="+mn-lt"/>
                <a:ea typeface="+mn-ea"/>
                <a:cs typeface="+mn-cs"/>
              </a:defRPr>
            </a:pPr>
            <a:r>
              <a:rPr lang="en-US" altLang="zh-CN"/>
              <a:t>2021</a:t>
            </a:r>
            <a:r>
              <a:rPr lang="zh-CN" altLang="en-US"/>
              <a:t>年收入决算结构图</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2021年收入决算结构图</c:v>
                </c:pt>
              </c:strCache>
            </c:strRef>
          </c:tx>
          <c:explosion val="0"/>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r>
                      <a:rPr lang="en-US" altLang="zh-CN" sz="1200"/>
                      <a:t>100%</a:t>
                    </a:r>
                    <a:endParaRPr lang="en-US" altLang="zh-CN" sz="1200"/>
                  </a:p>
                </c:rich>
              </c:tx>
              <c:dLblPos val="bestFit"/>
              <c:showLegendKey val="0"/>
              <c:showVal val="1"/>
              <c:showCatName val="0"/>
              <c:showSerName val="0"/>
              <c:showPercent val="0"/>
              <c:showBubbleSize val="0"/>
              <c:extLst>
                <c:ext xmlns:c15="http://schemas.microsoft.com/office/drawing/2012/chart" uri="{CE6537A1-D6FC-4f65-9D91-7224C49458BB}">
                  <c15:layout>
                    <c:manualLayout>
                      <c:w val="0.128724672228844"/>
                      <c:h val="0.139412360688956"/>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Sheet1!$A$2:$A$9</c:f>
              <c:strCache>
                <c:ptCount val="1"/>
                <c:pt idx="0">
                  <c:v>一般公共预算财政拨款收入</c:v>
                </c:pt>
              </c:strCache>
            </c:strRef>
          </c:cat>
          <c:val>
            <c:numRef>
              <c:f>Sheet1!$B$2:$B$9</c:f>
              <c:numCache>
                <c:formatCode>General</c:formatCode>
                <c:ptCount val="1"/>
                <c:pt idx="0">
                  <c:v>1821.21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2021年支出决算结构图</c:v>
                </c:pt>
              </c:strCache>
            </c:strRef>
          </c:tx>
          <c:explosion val="0"/>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Pt>
          <c:dPt>
            <c:idx val="2"/>
            <c:bubble3D val="0"/>
          </c:dPt>
          <c:dPt>
            <c:idx val="3"/>
            <c:bubble3D val="0"/>
          </c:dPt>
          <c:dPt>
            <c:idx val="4"/>
            <c:bubble3D val="0"/>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91.25%</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0.0268176400476758"/>
                  <c:y val="0.0972644376899696"/>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8.75%</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317.94</c:v>
                </c:pt>
                <c:pt idx="1">
                  <c:v>15.97</c:v>
                </c:pt>
                <c:pt idx="2">
                  <c:v>0</c:v>
                </c:pt>
                <c:pt idx="3">
                  <c:v>0</c:v>
                </c:pt>
                <c:pt idx="4">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财政拨款收、支决算总计变动情况</a:t>
            </a:r>
            <a:endParaRPr lang="zh-CN" altLang="en-US"/>
          </a:p>
        </c:rich>
      </c:tx>
      <c:layout>
        <c:manualLayout>
          <c:xMode val="edge"/>
          <c:yMode val="edge"/>
          <c:x val="0.16325"/>
          <c:y val="0.0375"/>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2021年财政拨款收、支决算</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345.28</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Sheet1!$B$2</c:f>
              <c:numCache>
                <c:formatCode>General</c:formatCode>
                <c:ptCount val="1"/>
                <c:pt idx="0">
                  <c:v>333.91</c:v>
                </c:pt>
              </c:numCache>
            </c:numRef>
          </c:val>
          <c:extLst>
            <c:ext xmlns:c15="http://schemas.microsoft.com/office/drawing/2012/chart" uri="{02D57815-91ED-43cb-92C2-25804820EDAC}">
              <c15:filteredCategoryTitle>
                <c15:cat>
                  <c:numRef>
                    <c:extLst>
                      <c:ext uri="{02D57815-91ED-43cb-92C2-25804820EDAC}">
                        <c15:formulaRef>
                          <c15:sqref>Sheet1!$A$2</c15:sqref>
                        </c15:formulaRef>
                      </c:ext>
                    </c:extLst>
                    <c:numCache>
                      <c:formatCode>General</c:formatCode>
                      <c:ptCount val="1"/>
                    </c:numCache>
                  </c:numRef>
                </c15:cat>
              </c15:filteredCategoryTitle>
            </c:ext>
          </c:extLst>
        </c:ser>
        <c:ser>
          <c:idx val="1"/>
          <c:order val="1"/>
          <c:tx>
            <c:strRef>
              <c:f>Sheet1!$C$1</c:f>
              <c:strCache>
                <c:ptCount val="1"/>
                <c:pt idx="0">
                  <c:v>2020年财政拨款收、支决算</c:v>
                </c:pt>
              </c:strCache>
            </c:strRef>
          </c:tx>
          <c:spPr>
            <a:solidFill>
              <a:schemeClr val="accent2"/>
            </a:solidFill>
            <a:ln>
              <a:noFill/>
            </a:ln>
            <a:effectLst/>
          </c:spPr>
          <c:invertIfNegative val="0"/>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325.09</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Sheet1!$C$2</c:f>
              <c:numCache>
                <c:formatCode>General</c:formatCode>
                <c:ptCount val="1"/>
                <c:pt idx="0">
                  <c:v>268.9</c:v>
                </c:pt>
              </c:numCache>
            </c:numRef>
          </c:val>
          <c:extLst>
            <c:ext xmlns:c15="http://schemas.microsoft.com/office/drawing/2012/chart" uri="{02D57815-91ED-43cb-92C2-25804820EDAC}">
              <c15:filteredCategoryTitle>
                <c15:cat>
                  <c:numRef>
                    <c:extLst>
                      <c:ext uri="{02D57815-91ED-43cb-92C2-25804820EDAC}">
                        <c15:formulaRef>
                          <c15:sqref>Sheet1!$A$2</c15:sqref>
                        </c15:formulaRef>
                      </c:ext>
                    </c:extLst>
                    <c:numCache>
                      <c:formatCode>General</c:formatCode>
                      <c:ptCount val="1"/>
                    </c:numCache>
                  </c:numRef>
                </c15:cat>
              </c15:filteredCategoryTitle>
            </c:ext>
          </c:extLst>
        </c:ser>
        <c:dLbls>
          <c:showLegendKey val="0"/>
          <c:showVal val="0"/>
          <c:showCatName val="0"/>
          <c:showSerName val="0"/>
          <c:showPercent val="0"/>
          <c:showBubbleSize val="0"/>
        </c:dLbls>
        <c:gapWidth val="219"/>
        <c:overlap val="-27"/>
        <c:axId val="215937408"/>
        <c:axId val="215938944"/>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val>
                  <c:numRef>
                    <c:extLst>
                      <c:ext uri="{02D57815-91ED-43cb-92C2-25804820EDAC}">
                        <c15:formulaRef>
                          <c15:sqref>Sheet1!#REF!</c15:sqref>
                        </c15:formulaRef>
                      </c:ext>
                    </c:extLst>
                    <c:numCache>
                      <c:formatCode>General</c:formatCode>
                      <c:ptCount val="1"/>
                      <c:pt idx="0">
                        <c:v>1</c:v>
                      </c:pt>
                    </c:numCache>
                  </c:numRef>
                </c:val>
                <c:extLst>
                  <c:ext xmlns:c15="http://schemas.microsoft.com/office/drawing/2012/chart" uri="{02D57815-91ED-43cb-92C2-25804820EDAC}">
                    <c15:filteredCategoryTitle>
                      <c15:cat>
                        <c:numRef>
                          <c:extLst>
                            <c:ext uri="{02D57815-91ED-43cb-92C2-25804820EDAC}">
                              <c15:formulaRef>
                                <c15:sqref>Sheet1!$A$2</c15:sqref>
                              </c15:formulaRef>
                            </c:ext>
                          </c:extLst>
                          <c:numCache>
                            <c:formatCode>General</c:formatCode>
                            <c:ptCount val="1"/>
                          </c:numCache>
                        </c:numRef>
                      </c15:cat>
                    </c15:filteredCategoryTitle>
                  </c:ext>
                </c:extLst>
              </c15:ser>
            </c15:filteredBarSeries>
          </c:ext>
        </c:extLst>
      </c:barChart>
      <c:catAx>
        <c:axId val="2159374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5938944"/>
        <c:crosses val="autoZero"/>
        <c:auto val="1"/>
        <c:lblAlgn val="ctr"/>
        <c:lblOffset val="100"/>
        <c:noMultiLvlLbl val="0"/>
      </c:catAx>
      <c:valAx>
        <c:axId val="2159389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5937408"/>
        <c:crosses val="autoZero"/>
        <c:crossBetween val="between"/>
      </c:valAx>
      <c:spPr>
        <a:noFill/>
        <a:ln>
          <a:noFill/>
        </a:ln>
        <a:effectLst/>
      </c:spPr>
    </c:plotArea>
    <c:legend>
      <c:legendPos val="b"/>
      <c:layout>
        <c:manualLayout>
          <c:xMode val="edge"/>
          <c:yMode val="edge"/>
          <c:x val="0.266125"/>
          <c:y val="0.924166666666667"/>
          <c:w val="0.551375"/>
          <c:h val="0.055833333333333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一般公共预算财政拨款支出决算总计变动情况</a:t>
            </a:r>
            <a:endParaRPr lang="zh-CN" altLang="en-US"/>
          </a:p>
        </c:rich>
      </c:tx>
      <c:layout>
        <c:manualLayout>
          <c:xMode val="edge"/>
          <c:yMode val="edge"/>
          <c:x val="0.16325"/>
          <c:y val="0.0375"/>
        </c:manualLayout>
      </c:layout>
      <c:overlay val="0"/>
      <c:spPr>
        <a:noFill/>
        <a:ln>
          <a:noFill/>
        </a:ln>
        <a:effectLst/>
      </c:spPr>
    </c:title>
    <c:autoTitleDeleted val="0"/>
    <c:plotArea>
      <c:layout>
        <c:manualLayout>
          <c:layoutTarget val="inner"/>
          <c:xMode val="edge"/>
          <c:yMode val="edge"/>
          <c:x val="0.0787"/>
          <c:y val="0.117"/>
          <c:w val="0.8938"/>
          <c:h val="0.716566666666667"/>
        </c:manualLayout>
      </c:layout>
      <c:barChart>
        <c:barDir val="col"/>
        <c:grouping val="clustered"/>
        <c:varyColors val="0"/>
        <c:ser>
          <c:idx val="0"/>
          <c:order val="0"/>
          <c:tx>
            <c:strRef>
              <c:f>Sheet1!$B$1</c:f>
              <c:strCache>
                <c:ptCount val="1"/>
                <c:pt idx="0">
                  <c:v>2021年一般财政公共预算拨款支出决算</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3</a:t>
                    </a:r>
                    <a:r>
                      <a:rPr lang="en-US" altLang="zh-CN"/>
                      <a:t>45.28</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Sheet1!$B$2</c:f>
              <c:numCache>
                <c:formatCode>General</c:formatCode>
                <c:ptCount val="1"/>
                <c:pt idx="0">
                  <c:v>333.91</c:v>
                </c:pt>
              </c:numCache>
            </c:numRef>
          </c:val>
          <c:extLst>
            <c:ext xmlns:c15="http://schemas.microsoft.com/office/drawing/2012/chart" uri="{02D57815-91ED-43cb-92C2-25804820EDAC}">
              <c15:filteredCategoryTitle>
                <c15:cat>
                  <c:numRef>
                    <c:extLst>
                      <c:ext uri="{02D57815-91ED-43cb-92C2-25804820EDAC}">
                        <c15:formulaRef>
                          <c15:sqref>Sheet1!$A$2</c15:sqref>
                        </c15:formulaRef>
                      </c:ext>
                    </c:extLst>
                    <c:numCache>
                      <c:formatCode>General</c:formatCode>
                      <c:ptCount val="1"/>
                    </c:numCache>
                  </c:numRef>
                </c15:cat>
              </c15:filteredCategoryTitle>
            </c:ext>
          </c:extLst>
        </c:ser>
        <c:ser>
          <c:idx val="1"/>
          <c:order val="1"/>
          <c:tx>
            <c:strRef>
              <c:f>Sheet1!$C$1</c:f>
              <c:strCache>
                <c:ptCount val="1"/>
                <c:pt idx="0">
                  <c:v>2020年一般财政公共预算拨款支出决算</c:v>
                </c:pt>
              </c:strCache>
            </c:strRef>
          </c:tx>
          <c:spPr>
            <a:solidFill>
              <a:schemeClr val="accent2"/>
            </a:solidFill>
            <a:ln>
              <a:noFill/>
            </a:ln>
            <a:effectLst/>
          </c:spPr>
          <c:invertIfNegative val="0"/>
          <c:dLbls>
            <c:dLbl>
              <c:idx val="0"/>
              <c:layout>
                <c:manualLayout>
                  <c:x val="0.00375"/>
                  <c:y val="0.0025"/>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325.09</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Sheet1!$C$2</c:f>
              <c:numCache>
                <c:formatCode>General</c:formatCode>
                <c:ptCount val="1"/>
                <c:pt idx="0">
                  <c:v>268.9</c:v>
                </c:pt>
              </c:numCache>
            </c:numRef>
          </c:val>
          <c:extLst>
            <c:ext xmlns:c15="http://schemas.microsoft.com/office/drawing/2012/chart" uri="{02D57815-91ED-43cb-92C2-25804820EDAC}">
              <c15:filteredCategoryTitle>
                <c15:cat>
                  <c:numRef>
                    <c:extLst>
                      <c:ext uri="{02D57815-91ED-43cb-92C2-25804820EDAC}">
                        <c15:formulaRef>
                          <c15:sqref>Sheet1!$A$2</c15:sqref>
                        </c15:formulaRef>
                      </c:ext>
                    </c:extLst>
                    <c:numCache>
                      <c:formatCode>General</c:formatCode>
                      <c:ptCount val="1"/>
                    </c:numCache>
                  </c:numRef>
                </c15:cat>
              </c15:filteredCategoryTitle>
            </c:ext>
          </c:extLst>
        </c:ser>
        <c:dLbls>
          <c:showLegendKey val="0"/>
          <c:showVal val="0"/>
          <c:showCatName val="0"/>
          <c:showSerName val="0"/>
          <c:showPercent val="0"/>
          <c:showBubbleSize val="0"/>
        </c:dLbls>
        <c:gapWidth val="219"/>
        <c:overlap val="-27"/>
        <c:axId val="216046592"/>
        <c:axId val="216060672"/>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val>
                  <c:numRef>
                    <c:extLst>
                      <c:ext uri="{02D57815-91ED-43cb-92C2-25804820EDAC}">
                        <c15:formulaRef>
                          <c15:sqref>Sheet1!#REF!</c15:sqref>
                        </c15:formulaRef>
                      </c:ext>
                    </c:extLst>
                    <c:numCache>
                      <c:formatCode>General</c:formatCode>
                      <c:ptCount val="1"/>
                      <c:pt idx="0">
                        <c:v>1</c:v>
                      </c:pt>
                    </c:numCache>
                  </c:numRef>
                </c:val>
                <c:extLst>
                  <c:ext xmlns:c15="http://schemas.microsoft.com/office/drawing/2012/chart" uri="{02D57815-91ED-43cb-92C2-25804820EDAC}">
                    <c15:filteredCategoryTitle>
                      <c15:cat>
                        <c:numRef>
                          <c:extLst>
                            <c:ext uri="{02D57815-91ED-43cb-92C2-25804820EDAC}">
                              <c15:formulaRef>
                                <c15:sqref>Sheet1!$A$2</c15:sqref>
                              </c15:formulaRef>
                            </c:ext>
                          </c:extLst>
                          <c:numCache>
                            <c:formatCode>General</c:formatCode>
                            <c:ptCount val="1"/>
                          </c:numCache>
                        </c:numRef>
                      </c15:cat>
                    </c15:filteredCategoryTitle>
                  </c:ext>
                </c:extLst>
              </c15:ser>
            </c15:filteredBarSeries>
          </c:ext>
        </c:extLst>
      </c:barChart>
      <c:catAx>
        <c:axId val="21604659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6060672"/>
        <c:crosses val="autoZero"/>
        <c:auto val="1"/>
        <c:lblAlgn val="ctr"/>
        <c:lblOffset val="100"/>
        <c:noMultiLvlLbl val="0"/>
      </c:catAx>
      <c:valAx>
        <c:axId val="21606067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6046592"/>
        <c:crosses val="autoZero"/>
        <c:crossBetween val="between"/>
      </c:valAx>
      <c:spPr>
        <a:noFill/>
        <a:ln>
          <a:noFill/>
        </a:ln>
        <a:effectLst/>
      </c:spPr>
    </c:plotArea>
    <c:legend>
      <c:legendPos val="b"/>
      <c:layout>
        <c:manualLayout>
          <c:xMode val="edge"/>
          <c:yMode val="edge"/>
          <c:x val="0.266125"/>
          <c:y val="0.924166666666667"/>
          <c:w val="0.551375"/>
          <c:h val="0.055833333333333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金额（元）</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ext>
            </c:extLst>
          </c:dLbls>
          <c:cat>
            <c:strRef>
              <c:f>Sheet1!$A$2:$A$6</c:f>
              <c:strCache>
                <c:ptCount val="5"/>
                <c:pt idx="0">
                  <c:v>教育支出</c:v>
                </c:pt>
                <c:pt idx="1">
                  <c:v>社会保障和就业支出</c:v>
                </c:pt>
                <c:pt idx="2">
                  <c:v>卫生健康支出</c:v>
                </c:pt>
                <c:pt idx="3">
                  <c:v>农林水支出</c:v>
                </c:pt>
                <c:pt idx="4">
                  <c:v>住房保障支出</c:v>
                </c:pt>
              </c:strCache>
            </c:strRef>
          </c:cat>
          <c:val>
            <c:numRef>
              <c:f>Sheet1!$B$2:$B$6</c:f>
              <c:numCache>
                <c:formatCode>General</c:formatCode>
                <c:ptCount val="5"/>
                <c:pt idx="0">
                  <c:v>268.86</c:v>
                </c:pt>
                <c:pt idx="1">
                  <c:v>27.38</c:v>
                </c:pt>
                <c:pt idx="2">
                  <c:v>16.65</c:v>
                </c:pt>
                <c:pt idx="3">
                  <c:v>0.5</c:v>
                </c:pt>
                <c:pt idx="4">
                  <c:v>20.53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s:customData>
</file>

<file path=customXml/item10.xml><?xml version="1.0" encoding="utf-8"?>
<Properties xmlns:vt="http://schemas.openxmlformats.org/officeDocument/2006/docPropsVTypes" xmlns="http://schemas.openxmlformats.org/officeDocument/2006/extended-properties">
  <Template>Normal</Template>
  <TotalTime>5</TotalTime>
  <Pages>19</Pages>
  <Words>5961</Words>
  <Characters>7861</Characters>
  <Application>WPS Office_11.1.0.9208_F1E327BC-269C-435d-A152-05C5408002CA</Application>
  <DocSecurity>0</DocSecurity>
  <Lines>57</Lines>
  <Paragraphs>16</Paragraphs>
  <Company>四川省财政厅</Company>
  <CharactersWithSpaces>7895</CharactersWithSpaces>
  <AppVersion>12.0000</AppVersion>
</Properties>
</file>

<file path=customXml/item11.xml><?xml version="1.0" encoding="utf-8"?>
<Properties xmlns="http://schemas.openxmlformats.org/officeDocument/2006/extended-properties" xmlns:vt="http://schemas.openxmlformats.org/officeDocument/2006/docPropsVTypes">
  <Template>Normal</Template>
  <TotalTime>8</TotalTime>
  <Pages>16</Pages>
  <Words>1148</Words>
  <Characters>6549</Characters>
  <Application>Microsoft Office Word</Application>
  <DocSecurity>0</DocSecurity>
  <Lines>54</Lines>
  <Paragraphs>15</Paragraphs>
  <ScaleCrop>false</ScaleCrop>
  <Company>四川省财政厅</Company>
  <LinksUpToDate>false</LinksUpToDate>
  <CharactersWithSpaces>7682</CharactersWithSpaces>
  <SharedDoc>false</SharedDoc>
  <HyperlinksChanged>false</HyperlinksChanged>
  <AppVersion>12.0000</AppVersion>
</Properties>
</file>

<file path=customXml/item12.xml><?xml version="1.0" encoding="utf-8"?>
<Properties xmlns:vt="http://schemas.openxmlformats.org/officeDocument/2006/docPropsVTypes" xmlns="http://schemas.openxmlformats.org/officeDocument/2006/extended-properties">
  <Template>Normal</Template>
  <TotalTime>8</TotalTime>
  <Pages>16</Pages>
  <Words>1148</Words>
  <Characters>6549</Characters>
  <Application>Microsoft Office Word</Application>
  <DocSecurity>0</DocSecurity>
  <Lines>54</Lines>
  <Paragraphs>15</Paragraphs>
  <Company>四川省财政厅</Company>
  <CharactersWithSpaces>7682</CharactersWithSpaces>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8</cp:revision>
  <cp:lastPrinted>2022-08-06T02:23:00Z</cp:lastPrinted>
  <dcterms:created xsi:type="dcterms:W3CDTF">2020-08-05T01:49:00Z</dcterms:created>
  <dcterms:modified xsi:type="dcterms:W3CDTF">2023-02-23T06:12:00Z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2022-08-06T02:23:00Z</cp:lastPrinted>
  <dcterms:modified xsi:type="dcterms:W3CDTF">2022-11-08T06:41:39Z</dcterms:modified>
  <dc:title>四川省***</dc:title>
  <cp:revision>5</cp:revision>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5</cp:revision>
  <cp:lastPrinted>2022-08-06T02:23:00Z</cp:lastPrinted>
  <dcterms:created xsi:type="dcterms:W3CDTF">2020-08-05T01:49:00Z</dcterms:created>
  <dcterms:modified xsi:type="dcterms:W3CDTF">2022-11-08T06:41:39Z</dcterms:modified>
</cp:coreProperties>
</file>

<file path=customXml/item3.xml><?xml version="1.0" encoding="utf-8"?>
<Properties xmlns="http://schemas.openxmlformats.org/officeDocument/2006/extended-properties" xmlns:vt="http://schemas.openxmlformats.org/officeDocument/2006/docPropsVTypes">
  <Template>Normal</Template>
  <Company>四川省财政厅</Company>
  <Pages>19</Pages>
  <Words>5961</Words>
  <Characters>7861</Characters>
  <Lines>57</Lines>
  <Paragraphs>16</Paragraphs>
  <TotalTime>5</TotalTime>
  <ScaleCrop>false</ScaleCrop>
  <LinksUpToDate>false</LinksUpToDate>
  <CharactersWithSpaces>7895</CharactersWithSpaces>
  <Application>WPS Office_11.1.0.9208_F1E327BC-269C-435d-A152-05C5408002CA</Application>
  <DocSecurity>0</DocSecurity>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53FE8F97FCF64496AD8B8824D9BCC224</vt:lpstr>
  </property>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53FE8F97FCF64496AD8B8824D9BCC224</vt:lpwstr>
  </property>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8</cp:revision>
  <cp:lastPrinted>2022-08-06T02:23:00Z</cp:lastPrinted>
  <dcterms:created xsi:type="dcterms:W3CDTF">2020-08-05T01:49:00Z</dcterms:created>
  <dcterms:modified xsi:type="dcterms:W3CDTF">2023-02-23T06:12:00Z</dcterms:modified>
</cp:core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53FE8F97FCF64496AD8B8824D9BCC224</vt:lpwstr>
  </property>
</Properties>
</file>

<file path=customXml/item9.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53FE8F97FCF64496AD8B8824D9BCC224</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C8B0153A-9D5C-477B-9FC4-7E9ABC7A8E39}">
  <ds:schemaRefs/>
</ds:datastoreItem>
</file>

<file path=customXml/itemProps11.xml><?xml version="1.0" encoding="utf-8"?>
<ds:datastoreItem xmlns:ds="http://schemas.openxmlformats.org/officeDocument/2006/customXml" ds:itemID="{F9DB00AF-C2A1-4B6D-8478-B4C01EBB6FF9}">
  <ds:schemaRefs/>
</ds:datastoreItem>
</file>

<file path=customXml/itemProps12.xml><?xml version="1.0" encoding="utf-8"?>
<ds:datastoreItem xmlns:ds="http://schemas.openxmlformats.org/officeDocument/2006/customXml" ds:itemID="{6151C7AF-466A-411A-836E-8AADD338032D}">
  <ds:schemaRefs/>
</ds:datastoreItem>
</file>

<file path=customXml/itemProps13.xml><?xml version="1.0" encoding="utf-8"?>
<ds:datastoreItem xmlns:ds="http://schemas.openxmlformats.org/officeDocument/2006/customXml" ds:itemID="{DDB5B833-E6A4-4679-A068-9A5F00A5DBA2}">
  <ds:schemaRefs/>
</ds:datastoreItem>
</file>

<file path=customXml/itemProps14.xml><?xml version="1.0" encoding="utf-8"?>
<ds:datastoreItem xmlns:ds="http://schemas.openxmlformats.org/officeDocument/2006/customXml" ds:itemID="{29B52130-C354-4A56-80F5-04936503F50D}">
  <ds:schemaRefs/>
</ds:datastoreItem>
</file>

<file path=customXml/itemProps2.xml><?xml version="1.0" encoding="utf-8"?>
<ds:datastoreItem xmlns:ds="http://schemas.openxmlformats.org/officeDocument/2006/customXml" ds:itemID="{EAD33C66-386F-447E-B06B-9DA323CAA0D6}">
  <ds:schemaRefs/>
</ds:datastoreItem>
</file>

<file path=customXml/itemProps3.xml><?xml version="1.0" encoding="utf-8"?>
<ds:datastoreItem xmlns:ds="http://schemas.openxmlformats.org/officeDocument/2006/customXml" ds:itemID="{75DB008D-5154-4963-823E-19B5165E9AEB}">
  <ds:schemaRefs/>
</ds:datastoreItem>
</file>

<file path=customXml/itemProps4.xml><?xml version="1.0" encoding="utf-8"?>
<ds:datastoreItem xmlns:ds="http://schemas.openxmlformats.org/officeDocument/2006/customXml" ds:itemID="{F7F24B95-9B78-44FF-9DE1-6FB06A65C53F}">
  <ds:schemaRefs/>
</ds:datastoreItem>
</file>

<file path=customXml/itemProps5.xml><?xml version="1.0" encoding="utf-8"?>
<ds:datastoreItem xmlns:ds="http://schemas.openxmlformats.org/officeDocument/2006/customXml" ds:itemID="{2952D4CC-177B-44A6-89B6-95973D18602F}">
  <ds:schemaRefs/>
</ds:datastoreItem>
</file>

<file path=customXml/itemProps6.xml><?xml version="1.0" encoding="utf-8"?>
<ds:datastoreItem xmlns:ds="http://schemas.openxmlformats.org/officeDocument/2006/customXml" ds:itemID="{0AB90C56-E3D0-4079-BED5-6963605E847D}">
  <ds:schemaRefs/>
</ds:datastoreItem>
</file>

<file path=customXml/itemProps7.xml><?xml version="1.0" encoding="utf-8"?>
<ds:datastoreItem xmlns:ds="http://schemas.openxmlformats.org/officeDocument/2006/customXml" ds:itemID="{2FADB1F0-9ED0-4155-84F0-8B7B81F3222A}">
  <ds:schemaRefs/>
</ds:datastoreItem>
</file>

<file path=customXml/itemProps8.xml><?xml version="1.0" encoding="utf-8"?>
<ds:datastoreItem xmlns:ds="http://schemas.openxmlformats.org/officeDocument/2006/customXml" ds:itemID="{C2D16664-A477-4B7F-B28C-DEB703920D3A}">
  <ds:schemaRefs/>
</ds:datastoreItem>
</file>

<file path=customXml/itemProps9.xml><?xml version="1.0" encoding="utf-8"?>
<ds:datastoreItem xmlns:ds="http://schemas.openxmlformats.org/officeDocument/2006/customXml" ds:itemID="{BB38FD30-010D-4C9A-85B8-772932C243B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16</Pages>
  <Words>5460</Words>
  <Characters>5877</Characters>
  <Lines>54</Lines>
  <Paragraphs>15</Paragraphs>
  <TotalTime>3</TotalTime>
  <ScaleCrop>false</ScaleCrop>
  <LinksUpToDate>false</LinksUpToDate>
  <CharactersWithSpaces>6040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2022-08-06T02:23:00Z</cp:lastPrinted>
  <dcterms:modified xsi:type="dcterms:W3CDTF">2023-08-31T01:23:35Z</dcterms:modified>
  <dc:title>四川省***</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53FE8F97FCF64496AD8B8824D9BCC224</vt:lpwstr>
  </property>
</Properties>
</file>