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imes New Roman" w:hAnsi="Times New Roman" w:eastAsia="黑体"/>
          <w:sz w:val="72"/>
          <w:szCs w:val="24"/>
          <w:lang w:val="zh-CN"/>
        </w:rPr>
      </w:pPr>
      <w:bookmarkStart w:id="0" w:name="_Toc1978"/>
      <w:bookmarkStart w:id="1" w:name="_Toc31082"/>
      <w:bookmarkStart w:id="2" w:name="_Toc3747"/>
    </w:p>
    <w:p>
      <w:pPr>
        <w:rPr>
          <w:rFonts w:hint="eastAsia" w:ascii="黑体" w:hAnsi="黑体" w:eastAsia="黑体" w:cs="黑体"/>
          <w:sz w:val="72"/>
          <w:szCs w:val="72"/>
          <w:lang w:val="zh-CN"/>
        </w:rPr>
      </w:pPr>
    </w:p>
    <w:p>
      <w:pPr>
        <w:spacing w:line="360" w:lineRule="auto"/>
        <w:jc w:val="center"/>
        <w:rPr>
          <w:rFonts w:hint="eastAsia" w:ascii="方正小标宋简体" w:hAnsi="方正小标宋简体" w:eastAsia="方正小标宋简体" w:cs="方正小标宋简体"/>
          <w:sz w:val="72"/>
          <w:szCs w:val="72"/>
          <w:lang w:val="zh-CN"/>
        </w:rPr>
      </w:pPr>
      <w:bookmarkStart w:id="3" w:name="_Toc4932"/>
      <w:r>
        <w:rPr>
          <w:rFonts w:hint="eastAsia" w:ascii="方正小标宋简体" w:hAnsi="方正小标宋简体" w:eastAsia="方正小标宋简体" w:cs="方正小标宋简体"/>
          <w:sz w:val="72"/>
          <w:szCs w:val="72"/>
          <w:lang w:val="zh-CN"/>
        </w:rPr>
        <w:t>2022年度</w:t>
      </w:r>
      <w:bookmarkEnd w:id="0"/>
      <w:bookmarkEnd w:id="1"/>
      <w:bookmarkEnd w:id="2"/>
      <w:bookmarkEnd w:id="3"/>
    </w:p>
    <w:p>
      <w:pPr>
        <w:spacing w:line="360" w:lineRule="auto"/>
        <w:jc w:val="center"/>
        <w:outlineLvl w:val="9"/>
        <w:rPr>
          <w:rFonts w:hint="eastAsia" w:ascii="方正小标宋简体" w:hAnsi="方正小标宋简体" w:eastAsia="方正小标宋简体" w:cs="方正小标宋简体"/>
          <w:kern w:val="2"/>
          <w:sz w:val="72"/>
          <w:szCs w:val="72"/>
          <w:lang w:val="zh-CN"/>
        </w:rPr>
      </w:pPr>
      <w:bookmarkStart w:id="4" w:name="_Toc11413"/>
      <w:bookmarkStart w:id="5" w:name="_Toc21167"/>
      <w:r>
        <w:rPr>
          <w:rFonts w:hint="eastAsia" w:ascii="方正小标宋简体" w:hAnsi="方正小标宋简体" w:eastAsia="方正小标宋简体" w:cs="方正小标宋简体"/>
          <w:kern w:val="2"/>
          <w:sz w:val="72"/>
          <w:szCs w:val="72"/>
          <w:lang w:val="zh-CN"/>
        </w:rPr>
        <w:t>通江县板桥口镇人民政府</w:t>
      </w:r>
      <w:bookmarkEnd w:id="4"/>
      <w:bookmarkEnd w:id="5"/>
    </w:p>
    <w:p>
      <w:pPr>
        <w:spacing w:line="360" w:lineRule="auto"/>
        <w:jc w:val="center"/>
        <w:rPr>
          <w:rFonts w:hint="eastAsia" w:ascii="方正小标宋简体" w:hAnsi="方正小标宋简体" w:eastAsia="方正小标宋简体" w:cs="方正小标宋简体"/>
          <w:kern w:val="2"/>
          <w:sz w:val="72"/>
          <w:szCs w:val="72"/>
          <w:lang w:val="zh-CN"/>
        </w:rPr>
      </w:pPr>
      <w:r>
        <w:rPr>
          <w:rFonts w:hint="eastAsia" w:ascii="方正小标宋简体" w:hAnsi="方正小标宋简体" w:eastAsia="方正小标宋简体" w:cs="方正小标宋简体"/>
          <w:kern w:val="2"/>
          <w:sz w:val="72"/>
          <w:szCs w:val="72"/>
          <w:lang w:val="zh-CN"/>
        </w:rPr>
        <w:t>部门决算</w:t>
      </w:r>
    </w:p>
    <w:p>
      <w:pPr>
        <w:keepNext/>
        <w:keepLines/>
        <w:tabs>
          <w:tab w:val="right" w:leader="dot" w:pos="8296"/>
        </w:tabs>
        <w:spacing w:line="576" w:lineRule="exact"/>
        <w:rPr>
          <w:rFonts w:hint="eastAsia" w:ascii="黑体" w:hAnsi="黑体" w:eastAsia="黑体"/>
          <w:b/>
          <w:color w:val="FF0000"/>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p>
    <w:p>
      <w:pPr>
        <w:jc w:val="center"/>
        <w:rPr>
          <w:rFonts w:hint="eastAsia" w:ascii="黑体" w:hAnsi="黑体" w:eastAsia="黑体"/>
          <w:color w:val="auto"/>
          <w:kern w:val="2"/>
          <w:sz w:val="48"/>
          <w:szCs w:val="24"/>
          <w:lang w:val="zh-CN"/>
        </w:rPr>
      </w:pPr>
      <w:r>
        <w:rPr>
          <w:rFonts w:hint="eastAsia" w:ascii="黑体" w:hAnsi="黑体" w:eastAsia="黑体"/>
          <w:color w:val="auto"/>
          <w:kern w:val="2"/>
          <w:sz w:val="48"/>
          <w:szCs w:val="24"/>
          <w:lang w:val="zh-CN"/>
        </w:rPr>
        <w:t>目录</w:t>
      </w:r>
    </w:p>
    <w:p>
      <w:pPr>
        <w:jc w:val="center"/>
        <w:rPr>
          <w:rFonts w:hint="eastAsia" w:ascii="黑体" w:hAnsi="黑体" w:eastAsia="黑体"/>
          <w:color w:val="auto"/>
          <w:kern w:val="2"/>
          <w:sz w:val="28"/>
          <w:szCs w:val="24"/>
          <w:lang w:val="zh-CN"/>
        </w:rPr>
      </w:pPr>
    </w:p>
    <w:p>
      <w:pPr>
        <w:tabs>
          <w:tab w:val="right" w:leader="dot" w:pos="8296"/>
        </w:tabs>
        <w:spacing w:before="93"/>
        <w:jc w:val="center"/>
        <w:rPr>
          <w:rFonts w:hint="eastAsia" w:ascii="仿宋" w:hAnsi="仿宋" w:eastAsia="仿宋"/>
          <w:color w:val="auto"/>
          <w:kern w:val="2"/>
          <w:sz w:val="28"/>
          <w:szCs w:val="24"/>
          <w:lang w:val="zh-CN"/>
        </w:rPr>
      </w:pPr>
      <w:r>
        <w:rPr>
          <w:rFonts w:hint="eastAsia" w:ascii="仿宋" w:hAnsi="仿宋" w:eastAsia="仿宋"/>
          <w:color w:val="auto"/>
          <w:kern w:val="2"/>
          <w:sz w:val="28"/>
          <w:szCs w:val="24"/>
          <w:lang w:val="zh-CN"/>
        </w:rPr>
        <w:t>公开时间：2023年</w:t>
      </w:r>
      <w:r>
        <w:rPr>
          <w:rFonts w:hint="eastAsia" w:ascii="仿宋" w:hAnsi="仿宋" w:eastAsia="仿宋"/>
          <w:color w:val="auto"/>
          <w:kern w:val="2"/>
          <w:sz w:val="28"/>
          <w:szCs w:val="24"/>
          <w:lang w:val="en-US" w:eastAsia="zh-CN"/>
        </w:rPr>
        <w:t>8</w:t>
      </w:r>
      <w:r>
        <w:rPr>
          <w:rFonts w:hint="eastAsia" w:ascii="仿宋" w:hAnsi="仿宋" w:eastAsia="仿宋"/>
          <w:color w:val="auto"/>
          <w:kern w:val="2"/>
          <w:sz w:val="28"/>
          <w:szCs w:val="24"/>
          <w:lang w:val="zh-CN"/>
        </w:rPr>
        <w:t>月</w:t>
      </w:r>
      <w:r>
        <w:rPr>
          <w:rFonts w:hint="eastAsia" w:ascii="仿宋" w:hAnsi="仿宋" w:eastAsia="仿宋"/>
          <w:color w:val="auto"/>
          <w:kern w:val="2"/>
          <w:sz w:val="28"/>
          <w:szCs w:val="24"/>
          <w:lang w:val="en-US" w:eastAsia="zh-CN"/>
        </w:rPr>
        <w:t>28</w:t>
      </w:r>
      <w:r>
        <w:rPr>
          <w:rFonts w:hint="eastAsia" w:ascii="仿宋" w:hAnsi="仿宋" w:eastAsia="仿宋"/>
          <w:color w:val="auto"/>
          <w:kern w:val="2"/>
          <w:sz w:val="28"/>
          <w:szCs w:val="24"/>
          <w:lang w:val="zh-CN"/>
        </w:rPr>
        <w:t>日</w:t>
      </w:r>
    </w:p>
    <w:p>
      <w:pPr>
        <w:pStyle w:val="2"/>
        <w:rPr>
          <w:rFonts w:hint="eastAsia"/>
          <w:sz w:val="24"/>
          <w:szCs w:val="24"/>
          <w:lang w:val="zh-CN"/>
        </w:rPr>
      </w:pPr>
    </w:p>
    <w:p>
      <w:pPr>
        <w:pStyle w:val="13"/>
        <w:tabs>
          <w:tab w:val="right" w:leader="dot" w:pos="8640"/>
        </w:tabs>
      </w:pPr>
      <w:bookmarkStart w:id="6" w:name="_Toc10206"/>
      <w:bookmarkStart w:id="7" w:name="_Toc9359"/>
      <w:bookmarkStart w:id="8" w:name="_Toc23987"/>
      <w:r>
        <w:rPr>
          <w:rFonts w:hint="eastAsia" w:ascii="Times New Roman" w:hAnsi="Times New Roman" w:eastAsia="黑体"/>
          <w:sz w:val="32"/>
          <w:szCs w:val="24"/>
          <w:lang w:val="zh-CN"/>
        </w:rPr>
        <w:fldChar w:fldCharType="begin"/>
      </w:r>
      <w:r>
        <w:rPr>
          <w:rFonts w:hint="eastAsia" w:ascii="Times New Roman" w:hAnsi="Times New Roman" w:eastAsia="黑体"/>
          <w:sz w:val="32"/>
          <w:szCs w:val="24"/>
          <w:lang w:val="zh-CN"/>
        </w:rPr>
        <w:instrText xml:space="preserve">TOC \o "1-2" \h \u </w:instrText>
      </w:r>
      <w:r>
        <w:rPr>
          <w:rFonts w:hint="eastAsia" w:ascii="Times New Roman" w:hAnsi="Times New Roman" w:eastAsia="黑体"/>
          <w:sz w:val="32"/>
          <w:szCs w:val="24"/>
          <w:lang w:val="zh-CN"/>
        </w:rPr>
        <w:fldChar w:fldCharType="separate"/>
      </w:r>
      <w:r>
        <w:rPr>
          <w:rFonts w:hint="eastAsia" w:ascii="Times New Roman" w:hAnsi="Times New Roman" w:eastAsia="黑体"/>
          <w:szCs w:val="24"/>
          <w:lang w:val="zh-CN"/>
        </w:rPr>
        <w:fldChar w:fldCharType="begin"/>
      </w:r>
      <w:r>
        <w:rPr>
          <w:rFonts w:hint="eastAsia" w:ascii="Times New Roman" w:hAnsi="Times New Roman" w:eastAsia="黑体"/>
          <w:szCs w:val="24"/>
          <w:lang w:val="zh-CN"/>
        </w:rPr>
        <w:instrText xml:space="preserve"> HYPERLINK \l _Toc6729 </w:instrText>
      </w:r>
      <w:r>
        <w:rPr>
          <w:rFonts w:hint="eastAsia" w:ascii="Times New Roman" w:hAnsi="Times New Roman" w:eastAsia="黑体"/>
          <w:szCs w:val="24"/>
          <w:lang w:val="zh-CN"/>
        </w:rPr>
        <w:fldChar w:fldCharType="separate"/>
      </w:r>
      <w:r>
        <w:rPr>
          <w:rFonts w:hint="eastAsia" w:ascii="Times New Roman" w:hAnsi="Times New Roman" w:eastAsia="黑体"/>
          <w:szCs w:val="24"/>
          <w:lang w:val="zh-CN"/>
        </w:rPr>
        <w:t>第一部分 部门概况</w:t>
      </w:r>
      <w:r>
        <w:tab/>
      </w:r>
      <w:r>
        <w:fldChar w:fldCharType="begin"/>
      </w:r>
      <w:r>
        <w:instrText xml:space="preserve"> PAGEREF _Toc6729 \h </w:instrText>
      </w:r>
      <w:r>
        <w:fldChar w:fldCharType="separate"/>
      </w:r>
      <w:r>
        <w:t>3</w:t>
      </w:r>
      <w:r>
        <w:fldChar w:fldCharType="end"/>
      </w:r>
      <w:r>
        <w:rPr>
          <w:rFonts w:hint="eastAsia" w:ascii="Times New Roman" w:hAnsi="Times New Roman" w:eastAsia="黑体"/>
          <w:szCs w:val="24"/>
          <w:lang w:val="zh-CN"/>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_Toc24167 </w:instrText>
      </w:r>
      <w:r>
        <w:rPr>
          <w:rFonts w:hint="default"/>
          <w:szCs w:val="24"/>
        </w:rPr>
        <w:fldChar w:fldCharType="separate"/>
      </w:r>
      <w:r>
        <w:rPr>
          <w:rFonts w:hint="eastAsia" w:ascii="黑体" w:hAnsi="黑体" w:eastAsia="黑体" w:cs="黑体"/>
          <w:szCs w:val="24"/>
          <w:lang w:val="zh-CN"/>
        </w:rPr>
        <w:t>一、部门职责</w:t>
      </w:r>
      <w:r>
        <w:tab/>
      </w:r>
      <w:r>
        <w:fldChar w:fldCharType="begin"/>
      </w:r>
      <w:r>
        <w:instrText xml:space="preserve"> PAGEREF _Toc24167 \h </w:instrText>
      </w:r>
      <w:r>
        <w:fldChar w:fldCharType="separate"/>
      </w:r>
      <w:r>
        <w:t>3</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_Toc14330 </w:instrText>
      </w:r>
      <w:r>
        <w:rPr>
          <w:rFonts w:hint="default"/>
          <w:szCs w:val="24"/>
        </w:rPr>
        <w:fldChar w:fldCharType="separate"/>
      </w:r>
      <w:r>
        <w:rPr>
          <w:rFonts w:hint="eastAsia" w:ascii="黑体" w:hAnsi="黑体" w:eastAsia="黑体" w:cs="黑体"/>
          <w:szCs w:val="24"/>
          <w:lang w:val="en-US" w:eastAsia="zh-CN"/>
        </w:rPr>
        <w:t>二、</w:t>
      </w:r>
      <w:r>
        <w:rPr>
          <w:rFonts w:hint="eastAsia" w:ascii="黑体" w:hAnsi="黑体" w:eastAsia="黑体" w:cs="黑体"/>
          <w:szCs w:val="24"/>
          <w:lang w:val="zh-CN"/>
        </w:rPr>
        <w:t>机构设置</w:t>
      </w:r>
      <w:r>
        <w:tab/>
      </w:r>
      <w:r>
        <w:fldChar w:fldCharType="begin"/>
      </w:r>
      <w:r>
        <w:instrText xml:space="preserve"> PAGEREF _Toc14330 \h </w:instrText>
      </w:r>
      <w:r>
        <w:fldChar w:fldCharType="separate"/>
      </w:r>
      <w:r>
        <w:t>5</w:t>
      </w:r>
      <w:r>
        <w:fldChar w:fldCharType="end"/>
      </w:r>
      <w:r>
        <w:rPr>
          <w:rFonts w:hint="default"/>
          <w:szCs w:val="24"/>
        </w:rPr>
        <w:fldChar w:fldCharType="end"/>
      </w:r>
    </w:p>
    <w:p>
      <w:pPr>
        <w:pStyle w:val="13"/>
        <w:tabs>
          <w:tab w:val="right" w:leader="dot" w:pos="8640"/>
        </w:tabs>
      </w:pPr>
      <w:r>
        <w:rPr>
          <w:rFonts w:hint="default"/>
          <w:szCs w:val="24"/>
        </w:rPr>
        <w:fldChar w:fldCharType="begin"/>
      </w:r>
      <w:r>
        <w:rPr>
          <w:rFonts w:hint="default"/>
          <w:szCs w:val="24"/>
        </w:rPr>
        <w:instrText xml:space="preserve"> HYPERLINK \l _Toc29676 </w:instrText>
      </w:r>
      <w:r>
        <w:rPr>
          <w:rFonts w:hint="default"/>
          <w:szCs w:val="24"/>
        </w:rPr>
        <w:fldChar w:fldCharType="separate"/>
      </w:r>
      <w:r>
        <w:rPr>
          <w:rFonts w:hint="default" w:ascii="Times New Roman" w:hAnsi="Times New Roman" w:eastAsia="黑体" w:cs="Times New Roman"/>
          <w:szCs w:val="36"/>
          <w:lang w:val="zh-CN"/>
        </w:rPr>
        <w:t xml:space="preserve">第二部分 </w:t>
      </w:r>
      <w:r>
        <w:rPr>
          <w:rFonts w:hint="eastAsia" w:ascii="Times New Roman" w:hAnsi="Times New Roman" w:eastAsia="黑体" w:cs="Times New Roman"/>
          <w:szCs w:val="36"/>
          <w:lang w:val="zh-CN"/>
        </w:rPr>
        <w:t>2022年度部门决算情况说明</w:t>
      </w:r>
      <w:r>
        <w:tab/>
      </w:r>
      <w:r>
        <w:fldChar w:fldCharType="begin"/>
      </w:r>
      <w:r>
        <w:instrText xml:space="preserve"> PAGEREF _Toc29676 \h </w:instrText>
      </w:r>
      <w:r>
        <w:fldChar w:fldCharType="separate"/>
      </w:r>
      <w:r>
        <w:t>6</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_Toc30401 </w:instrText>
      </w:r>
      <w:r>
        <w:rPr>
          <w:rFonts w:hint="default"/>
          <w:szCs w:val="24"/>
        </w:rPr>
        <w:fldChar w:fldCharType="separate"/>
      </w:r>
      <w:r>
        <w:rPr>
          <w:rFonts w:hint="eastAsia" w:ascii="黑体" w:hAnsi="黑体" w:eastAsia="黑体" w:cs="黑体"/>
          <w:szCs w:val="24"/>
          <w:lang w:val="zh-CN"/>
        </w:rPr>
        <w:t>一、收入支出决算总体情况说明</w:t>
      </w:r>
      <w:r>
        <w:tab/>
      </w:r>
      <w:r>
        <w:fldChar w:fldCharType="begin"/>
      </w:r>
      <w:r>
        <w:instrText xml:space="preserve"> PAGEREF _Toc30401 \h </w:instrText>
      </w:r>
      <w:r>
        <w:fldChar w:fldCharType="separate"/>
      </w:r>
      <w:r>
        <w:t>6</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_Toc22577 </w:instrText>
      </w:r>
      <w:r>
        <w:rPr>
          <w:rFonts w:hint="default"/>
          <w:szCs w:val="24"/>
        </w:rPr>
        <w:fldChar w:fldCharType="separate"/>
      </w:r>
      <w:r>
        <w:rPr>
          <w:rFonts w:hint="eastAsia" w:ascii="黑体" w:hAnsi="黑体" w:eastAsia="黑体" w:cs="黑体"/>
          <w:szCs w:val="24"/>
          <w:lang w:val="zh-CN"/>
        </w:rPr>
        <w:t>二、收入决算情况说明</w:t>
      </w:r>
      <w:r>
        <w:tab/>
      </w:r>
      <w:r>
        <w:fldChar w:fldCharType="begin"/>
      </w:r>
      <w:r>
        <w:instrText xml:space="preserve"> PAGEREF _Toc22577 \h </w:instrText>
      </w:r>
      <w:r>
        <w:fldChar w:fldCharType="separate"/>
      </w:r>
      <w:r>
        <w:t>6</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_Toc3138 </w:instrText>
      </w:r>
      <w:r>
        <w:rPr>
          <w:rFonts w:hint="default"/>
          <w:szCs w:val="24"/>
        </w:rPr>
        <w:fldChar w:fldCharType="separate"/>
      </w:r>
      <w:r>
        <w:rPr>
          <w:rFonts w:hint="eastAsia" w:ascii="黑体" w:hAnsi="黑体" w:eastAsia="黑体" w:cs="黑体"/>
          <w:szCs w:val="24"/>
          <w:lang w:val="zh-CN"/>
        </w:rPr>
        <w:t>三、支出决算情况说明</w:t>
      </w:r>
      <w:r>
        <w:tab/>
      </w:r>
      <w:r>
        <w:fldChar w:fldCharType="begin"/>
      </w:r>
      <w:r>
        <w:instrText xml:space="preserve"> PAGEREF _Toc3138 \h </w:instrText>
      </w:r>
      <w:r>
        <w:fldChar w:fldCharType="separate"/>
      </w:r>
      <w:r>
        <w:t>7</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_Toc25695 </w:instrText>
      </w:r>
      <w:r>
        <w:rPr>
          <w:rFonts w:hint="default"/>
          <w:szCs w:val="24"/>
        </w:rPr>
        <w:fldChar w:fldCharType="separate"/>
      </w:r>
      <w:r>
        <w:rPr>
          <w:rFonts w:hint="eastAsia" w:ascii="黑体" w:hAnsi="黑体" w:eastAsia="黑体" w:cs="黑体"/>
          <w:szCs w:val="24"/>
          <w:lang w:val="zh-CN"/>
        </w:rPr>
        <w:t>四、财政拨款收入支出决算总体情况说明</w:t>
      </w:r>
      <w:r>
        <w:tab/>
      </w:r>
      <w:r>
        <w:fldChar w:fldCharType="begin"/>
      </w:r>
      <w:r>
        <w:instrText xml:space="preserve"> PAGEREF _Toc25695 \h </w:instrText>
      </w:r>
      <w:r>
        <w:fldChar w:fldCharType="separate"/>
      </w:r>
      <w:r>
        <w:t>8</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_Toc18126 </w:instrText>
      </w:r>
      <w:r>
        <w:rPr>
          <w:rFonts w:hint="default"/>
          <w:szCs w:val="24"/>
        </w:rPr>
        <w:fldChar w:fldCharType="separate"/>
      </w:r>
      <w:r>
        <w:rPr>
          <w:rFonts w:hint="eastAsia" w:ascii="黑体" w:hAnsi="黑体" w:eastAsia="黑体" w:cs="黑体"/>
          <w:szCs w:val="24"/>
          <w:lang w:val="zh-CN"/>
        </w:rPr>
        <w:t>五、一般公共预算财政拨款支出决算情况说明</w:t>
      </w:r>
      <w:r>
        <w:tab/>
      </w:r>
      <w:r>
        <w:fldChar w:fldCharType="begin"/>
      </w:r>
      <w:r>
        <w:instrText xml:space="preserve"> PAGEREF _Toc18126 \h </w:instrText>
      </w:r>
      <w:r>
        <w:fldChar w:fldCharType="separate"/>
      </w:r>
      <w:r>
        <w:t>9</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_Toc18463 </w:instrText>
      </w:r>
      <w:r>
        <w:rPr>
          <w:rFonts w:hint="default"/>
          <w:szCs w:val="24"/>
        </w:rPr>
        <w:fldChar w:fldCharType="separate"/>
      </w:r>
      <w:r>
        <w:rPr>
          <w:rFonts w:hint="eastAsia" w:ascii="黑体" w:hAnsi="黑体" w:eastAsia="黑体" w:cs="黑体"/>
          <w:szCs w:val="24"/>
          <w:lang w:val="zh-CN"/>
        </w:rPr>
        <w:t>六、一般公共预算财政拨款基本支出决算情况说明</w:t>
      </w:r>
      <w:r>
        <w:tab/>
      </w:r>
      <w:r>
        <w:fldChar w:fldCharType="begin"/>
      </w:r>
      <w:r>
        <w:instrText xml:space="preserve"> PAGEREF _Toc18463 \h </w:instrText>
      </w:r>
      <w:r>
        <w:fldChar w:fldCharType="separate"/>
      </w:r>
      <w:r>
        <w:t>16</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_Toc20350 </w:instrText>
      </w:r>
      <w:r>
        <w:rPr>
          <w:rFonts w:hint="default"/>
          <w:szCs w:val="24"/>
        </w:rPr>
        <w:fldChar w:fldCharType="separate"/>
      </w:r>
      <w:r>
        <w:rPr>
          <w:rFonts w:hint="eastAsia" w:ascii="黑体" w:hAnsi="黑体" w:eastAsia="黑体" w:cs="黑体"/>
          <w:szCs w:val="24"/>
          <w:lang w:val="en-US" w:eastAsia="zh-CN"/>
        </w:rPr>
        <w:t>七、</w:t>
      </w:r>
      <w:r>
        <w:rPr>
          <w:rFonts w:hint="eastAsia" w:ascii="黑体" w:hAnsi="黑体" w:eastAsia="黑体" w:cs="黑体"/>
          <w:szCs w:val="24"/>
          <w:lang w:val="zh-CN"/>
        </w:rPr>
        <w:t>“三公”经费财政拨款支出决算情况说明</w:t>
      </w:r>
      <w:r>
        <w:tab/>
      </w:r>
      <w:r>
        <w:fldChar w:fldCharType="begin"/>
      </w:r>
      <w:r>
        <w:instrText xml:space="preserve"> PAGEREF _Toc20350 \h </w:instrText>
      </w:r>
      <w:r>
        <w:fldChar w:fldCharType="separate"/>
      </w:r>
      <w:r>
        <w:t>16</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_Toc18395 </w:instrText>
      </w:r>
      <w:r>
        <w:rPr>
          <w:rFonts w:hint="default"/>
          <w:szCs w:val="24"/>
        </w:rPr>
        <w:fldChar w:fldCharType="separate"/>
      </w:r>
      <w:r>
        <w:rPr>
          <w:rFonts w:hint="eastAsia" w:ascii="黑体" w:hAnsi="黑体" w:eastAsia="黑体" w:cs="黑体"/>
          <w:szCs w:val="24"/>
          <w:lang w:val="zh-CN"/>
        </w:rPr>
        <w:t>八、政府性基金预算支出决算情况说明</w:t>
      </w:r>
      <w:r>
        <w:tab/>
      </w:r>
      <w:r>
        <w:fldChar w:fldCharType="begin"/>
      </w:r>
      <w:r>
        <w:instrText xml:space="preserve"> PAGEREF _Toc18395 \h </w:instrText>
      </w:r>
      <w:r>
        <w:fldChar w:fldCharType="separate"/>
      </w:r>
      <w:r>
        <w:t>18</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_Toc25089 </w:instrText>
      </w:r>
      <w:r>
        <w:rPr>
          <w:rFonts w:hint="default"/>
          <w:szCs w:val="24"/>
        </w:rPr>
        <w:fldChar w:fldCharType="separate"/>
      </w:r>
      <w:r>
        <w:rPr>
          <w:rFonts w:hint="eastAsia" w:ascii="黑体" w:hAnsi="黑体" w:eastAsia="黑体" w:cs="黑体"/>
          <w:szCs w:val="24"/>
          <w:lang w:val="zh-CN"/>
        </w:rPr>
        <w:t>九、国有资本经营预算支出决算情况说明</w:t>
      </w:r>
      <w:r>
        <w:tab/>
      </w:r>
      <w:r>
        <w:fldChar w:fldCharType="begin"/>
      </w:r>
      <w:r>
        <w:instrText xml:space="preserve"> PAGEREF _Toc25089 \h </w:instrText>
      </w:r>
      <w:r>
        <w:fldChar w:fldCharType="separate"/>
      </w:r>
      <w:r>
        <w:t>18</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_Toc15819 </w:instrText>
      </w:r>
      <w:r>
        <w:rPr>
          <w:rFonts w:hint="default"/>
          <w:szCs w:val="24"/>
        </w:rPr>
        <w:fldChar w:fldCharType="separate"/>
      </w:r>
      <w:r>
        <w:rPr>
          <w:rFonts w:hint="eastAsia" w:ascii="黑体" w:hAnsi="黑体" w:eastAsia="黑体" w:cs="黑体"/>
          <w:szCs w:val="24"/>
          <w:lang w:val="zh-CN"/>
        </w:rPr>
        <w:t>十、其他重要事项的情况说明</w:t>
      </w:r>
      <w:r>
        <w:tab/>
      </w:r>
      <w:r>
        <w:fldChar w:fldCharType="begin"/>
      </w:r>
      <w:r>
        <w:instrText xml:space="preserve"> PAGEREF _Toc15819 \h </w:instrText>
      </w:r>
      <w:r>
        <w:fldChar w:fldCharType="separate"/>
      </w:r>
      <w:r>
        <w:t>18</w:t>
      </w:r>
      <w:r>
        <w:fldChar w:fldCharType="end"/>
      </w:r>
      <w:r>
        <w:rPr>
          <w:rFonts w:hint="default"/>
          <w:szCs w:val="24"/>
        </w:rPr>
        <w:fldChar w:fldCharType="end"/>
      </w:r>
    </w:p>
    <w:p>
      <w:pPr>
        <w:pStyle w:val="13"/>
        <w:tabs>
          <w:tab w:val="right" w:leader="dot" w:pos="8640"/>
        </w:tabs>
      </w:pPr>
      <w:r>
        <w:rPr>
          <w:rFonts w:hint="default"/>
          <w:szCs w:val="24"/>
        </w:rPr>
        <w:fldChar w:fldCharType="begin"/>
      </w:r>
      <w:r>
        <w:rPr>
          <w:rFonts w:hint="default"/>
          <w:szCs w:val="24"/>
        </w:rPr>
        <w:instrText xml:space="preserve"> HYPERLINK \l _Toc20460 </w:instrText>
      </w:r>
      <w:r>
        <w:rPr>
          <w:rFonts w:hint="default"/>
          <w:szCs w:val="24"/>
        </w:rPr>
        <w:fldChar w:fldCharType="separate"/>
      </w:r>
      <w:r>
        <w:rPr>
          <w:rFonts w:hint="default" w:ascii="Times New Roman" w:hAnsi="Times New Roman" w:eastAsia="黑体" w:cs="Times New Roman"/>
          <w:szCs w:val="36"/>
          <w:lang w:val="zh-CN"/>
        </w:rPr>
        <w:t xml:space="preserve">第三部分 </w:t>
      </w:r>
      <w:r>
        <w:rPr>
          <w:rFonts w:hint="eastAsia" w:ascii="Times New Roman" w:hAnsi="Times New Roman" w:eastAsia="黑体" w:cs="Times New Roman"/>
          <w:szCs w:val="36"/>
          <w:lang w:val="zh-CN"/>
        </w:rPr>
        <w:t>名词解释</w:t>
      </w:r>
      <w:r>
        <w:tab/>
      </w:r>
      <w:r>
        <w:fldChar w:fldCharType="begin"/>
      </w:r>
      <w:r>
        <w:instrText xml:space="preserve"> PAGEREF _Toc20460 \h </w:instrText>
      </w:r>
      <w:r>
        <w:fldChar w:fldCharType="separate"/>
      </w:r>
      <w:r>
        <w:t>20</w:t>
      </w:r>
      <w:r>
        <w:fldChar w:fldCharType="end"/>
      </w:r>
      <w:r>
        <w:rPr>
          <w:rFonts w:hint="default"/>
          <w:szCs w:val="24"/>
        </w:rPr>
        <w:fldChar w:fldCharType="end"/>
      </w:r>
    </w:p>
    <w:p>
      <w:pPr>
        <w:pStyle w:val="13"/>
        <w:tabs>
          <w:tab w:val="right" w:leader="dot" w:pos="8640"/>
        </w:tabs>
      </w:pPr>
      <w:r>
        <w:rPr>
          <w:rFonts w:hint="default"/>
          <w:szCs w:val="24"/>
        </w:rPr>
        <w:fldChar w:fldCharType="begin"/>
      </w:r>
      <w:r>
        <w:rPr>
          <w:rFonts w:hint="default"/>
          <w:szCs w:val="24"/>
        </w:rPr>
        <w:instrText xml:space="preserve"> HYPERLINK \l _Toc31870 </w:instrText>
      </w:r>
      <w:r>
        <w:rPr>
          <w:rFonts w:hint="default"/>
          <w:szCs w:val="24"/>
        </w:rPr>
        <w:fldChar w:fldCharType="separate"/>
      </w:r>
      <w:r>
        <w:rPr>
          <w:rFonts w:hint="default" w:ascii="Times New Roman" w:hAnsi="Times New Roman" w:eastAsia="黑体" w:cs="Times New Roman"/>
          <w:szCs w:val="36"/>
          <w:lang w:val="en-US"/>
        </w:rPr>
        <w:t xml:space="preserve">第四部分 </w:t>
      </w:r>
      <w:r>
        <w:rPr>
          <w:rFonts w:hint="eastAsia" w:ascii="Times New Roman" w:hAnsi="Times New Roman" w:eastAsia="黑体" w:cs="Times New Roman"/>
          <w:szCs w:val="36"/>
          <w:lang w:val="en-US"/>
        </w:rPr>
        <w:t>附件</w:t>
      </w:r>
      <w:r>
        <w:tab/>
      </w:r>
      <w:r>
        <w:fldChar w:fldCharType="begin"/>
      </w:r>
      <w:r>
        <w:instrText xml:space="preserve"> PAGEREF _Toc31870 \h </w:instrText>
      </w:r>
      <w:r>
        <w:fldChar w:fldCharType="separate"/>
      </w:r>
      <w:r>
        <w:t>26</w:t>
      </w:r>
      <w:r>
        <w:fldChar w:fldCharType="end"/>
      </w:r>
      <w:r>
        <w:rPr>
          <w:rFonts w:hint="default"/>
          <w:szCs w:val="24"/>
        </w:rPr>
        <w:fldChar w:fldCharType="end"/>
      </w:r>
    </w:p>
    <w:p>
      <w:pPr>
        <w:pStyle w:val="13"/>
        <w:tabs>
          <w:tab w:val="right" w:leader="dot" w:pos="8640"/>
        </w:tabs>
      </w:pPr>
      <w:r>
        <w:rPr>
          <w:rFonts w:hint="default"/>
          <w:szCs w:val="24"/>
        </w:rPr>
        <w:fldChar w:fldCharType="begin"/>
      </w:r>
      <w:r>
        <w:rPr>
          <w:rFonts w:hint="default"/>
          <w:szCs w:val="24"/>
        </w:rPr>
        <w:instrText xml:space="preserve"> HYPERLINK \l _Toc5014 </w:instrText>
      </w:r>
      <w:r>
        <w:rPr>
          <w:rFonts w:hint="default"/>
          <w:szCs w:val="24"/>
        </w:rPr>
        <w:fldChar w:fldCharType="separate"/>
      </w:r>
      <w:r>
        <w:rPr>
          <w:rFonts w:hint="default" w:ascii="Times New Roman" w:hAnsi="Times New Roman" w:eastAsia="黑体"/>
          <w:szCs w:val="24"/>
          <w:lang w:val="en-US"/>
        </w:rPr>
        <w:t xml:space="preserve">第五部分 </w:t>
      </w:r>
      <w:r>
        <w:rPr>
          <w:rFonts w:hint="eastAsia" w:ascii="Times New Roman" w:hAnsi="Times New Roman" w:eastAsia="黑体"/>
          <w:szCs w:val="24"/>
          <w:lang w:val="en-US"/>
        </w:rPr>
        <w:t>附表</w:t>
      </w:r>
      <w:r>
        <w:tab/>
      </w:r>
      <w:r>
        <w:fldChar w:fldCharType="begin"/>
      </w:r>
      <w:r>
        <w:instrText xml:space="preserve"> PAGEREF _Toc5014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_Toc26323 </w:instrText>
      </w:r>
      <w:r>
        <w:rPr>
          <w:rFonts w:hint="default"/>
          <w:szCs w:val="24"/>
        </w:rPr>
        <w:fldChar w:fldCharType="separate"/>
      </w:r>
      <w:r>
        <w:rPr>
          <w:rFonts w:hint="eastAsia" w:ascii="仿宋" w:hAnsi="仿宋" w:eastAsia="仿宋" w:cs="仿宋"/>
          <w:szCs w:val="32"/>
          <w:shd w:val="clear" w:color="auto" w:fill="FFFFFF"/>
          <w:lang w:val="en-US" w:eastAsia="zh-CN"/>
        </w:rPr>
        <w:t>一、收入支出决算总表</w:t>
      </w:r>
      <w:r>
        <w:tab/>
      </w:r>
      <w:r>
        <w:fldChar w:fldCharType="begin"/>
      </w:r>
      <w:r>
        <w:instrText xml:space="preserve"> PAGEREF _Toc26323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_Toc5826 </w:instrText>
      </w:r>
      <w:r>
        <w:rPr>
          <w:rFonts w:hint="default"/>
          <w:szCs w:val="24"/>
        </w:rPr>
        <w:fldChar w:fldCharType="separate"/>
      </w:r>
      <w:r>
        <w:rPr>
          <w:rFonts w:hint="eastAsia" w:ascii="仿宋" w:hAnsi="仿宋" w:eastAsia="仿宋" w:cs="仿宋"/>
          <w:szCs w:val="32"/>
          <w:shd w:val="clear" w:color="auto" w:fill="FFFFFF"/>
          <w:lang w:val="en-US" w:eastAsia="zh-CN"/>
        </w:rPr>
        <w:t>二、收入决算表</w:t>
      </w:r>
      <w:r>
        <w:tab/>
      </w:r>
      <w:r>
        <w:fldChar w:fldCharType="begin"/>
      </w:r>
      <w:r>
        <w:instrText xml:space="preserve"> PAGEREF _Toc5826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_Toc28783 </w:instrText>
      </w:r>
      <w:r>
        <w:rPr>
          <w:rFonts w:hint="default"/>
          <w:szCs w:val="24"/>
        </w:rPr>
        <w:fldChar w:fldCharType="separate"/>
      </w:r>
      <w:r>
        <w:rPr>
          <w:rFonts w:hint="eastAsia" w:ascii="仿宋" w:hAnsi="仿宋" w:eastAsia="仿宋" w:cs="仿宋"/>
          <w:szCs w:val="32"/>
          <w:shd w:val="clear" w:color="auto" w:fill="FFFFFF"/>
          <w:lang w:val="en-US" w:eastAsia="zh-CN"/>
        </w:rPr>
        <w:t>三、支出决算表</w:t>
      </w:r>
      <w:r>
        <w:tab/>
      </w:r>
      <w:r>
        <w:fldChar w:fldCharType="begin"/>
      </w:r>
      <w:r>
        <w:instrText xml:space="preserve"> PAGEREF _Toc28783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_Toc13222 </w:instrText>
      </w:r>
      <w:r>
        <w:rPr>
          <w:rFonts w:hint="default"/>
          <w:szCs w:val="24"/>
        </w:rPr>
        <w:fldChar w:fldCharType="separate"/>
      </w:r>
      <w:r>
        <w:rPr>
          <w:rFonts w:hint="eastAsia" w:ascii="仿宋" w:hAnsi="仿宋" w:eastAsia="仿宋" w:cs="仿宋"/>
          <w:szCs w:val="32"/>
          <w:shd w:val="clear" w:color="auto" w:fill="FFFFFF"/>
          <w:lang w:val="en-US" w:eastAsia="zh-CN"/>
        </w:rPr>
        <w:t>四、财政拨款收入支出决算总表</w:t>
      </w:r>
      <w:r>
        <w:tab/>
      </w:r>
      <w:r>
        <w:fldChar w:fldCharType="begin"/>
      </w:r>
      <w:r>
        <w:instrText xml:space="preserve"> PAGEREF _Toc13222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_Toc4921 </w:instrText>
      </w:r>
      <w:r>
        <w:rPr>
          <w:rFonts w:hint="default"/>
          <w:szCs w:val="24"/>
        </w:rPr>
        <w:fldChar w:fldCharType="separate"/>
      </w:r>
      <w:r>
        <w:rPr>
          <w:rFonts w:hint="eastAsia" w:ascii="仿宋" w:hAnsi="仿宋" w:eastAsia="仿宋" w:cs="仿宋"/>
          <w:szCs w:val="32"/>
          <w:shd w:val="clear" w:color="auto" w:fill="FFFFFF"/>
          <w:lang w:val="en-US" w:eastAsia="zh-CN"/>
        </w:rPr>
        <w:t>五、财政拨款支出决算明细表</w:t>
      </w:r>
      <w:r>
        <w:tab/>
      </w:r>
      <w:r>
        <w:fldChar w:fldCharType="begin"/>
      </w:r>
      <w:r>
        <w:instrText xml:space="preserve"> PAGEREF _Toc4921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_Toc27402 </w:instrText>
      </w:r>
      <w:r>
        <w:rPr>
          <w:rFonts w:hint="default"/>
          <w:szCs w:val="24"/>
        </w:rPr>
        <w:fldChar w:fldCharType="separate"/>
      </w:r>
      <w:r>
        <w:rPr>
          <w:rFonts w:hint="eastAsia" w:ascii="仿宋" w:hAnsi="仿宋" w:eastAsia="仿宋" w:cs="仿宋"/>
          <w:szCs w:val="32"/>
          <w:shd w:val="clear" w:color="auto" w:fill="FFFFFF"/>
          <w:lang w:val="en-US" w:eastAsia="zh-CN"/>
        </w:rPr>
        <w:t>六、一般公共预算财政拨款支出决算表</w:t>
      </w:r>
      <w:r>
        <w:tab/>
      </w:r>
      <w:r>
        <w:fldChar w:fldCharType="begin"/>
      </w:r>
      <w:r>
        <w:instrText xml:space="preserve"> PAGEREF _Toc27402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_Toc26981 </w:instrText>
      </w:r>
      <w:r>
        <w:rPr>
          <w:rFonts w:hint="default"/>
          <w:szCs w:val="24"/>
        </w:rPr>
        <w:fldChar w:fldCharType="separate"/>
      </w:r>
      <w:r>
        <w:rPr>
          <w:rFonts w:hint="eastAsia" w:ascii="仿宋" w:hAnsi="仿宋" w:eastAsia="仿宋" w:cs="仿宋"/>
          <w:szCs w:val="32"/>
          <w:shd w:val="clear" w:color="auto" w:fill="FFFFFF"/>
          <w:lang w:val="en-US" w:eastAsia="zh-CN"/>
        </w:rPr>
        <w:t>七、一般公共预算财政拨款支出决算明细表</w:t>
      </w:r>
      <w:r>
        <w:tab/>
      </w:r>
      <w:r>
        <w:fldChar w:fldCharType="begin"/>
      </w:r>
      <w:r>
        <w:instrText xml:space="preserve"> PAGEREF _Toc26981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_Toc24734 </w:instrText>
      </w:r>
      <w:r>
        <w:rPr>
          <w:rFonts w:hint="default"/>
          <w:szCs w:val="24"/>
        </w:rPr>
        <w:fldChar w:fldCharType="separate"/>
      </w:r>
      <w:r>
        <w:rPr>
          <w:rFonts w:hint="eastAsia" w:ascii="仿宋" w:hAnsi="仿宋" w:eastAsia="仿宋" w:cs="仿宋"/>
          <w:szCs w:val="32"/>
          <w:shd w:val="clear" w:color="auto" w:fill="FFFFFF"/>
          <w:lang w:val="en-US" w:eastAsia="zh-CN"/>
        </w:rPr>
        <w:t>八、一般公共预算财政拨款基本支出决算表</w:t>
      </w:r>
      <w:r>
        <w:tab/>
      </w:r>
      <w:r>
        <w:fldChar w:fldCharType="begin"/>
      </w:r>
      <w:r>
        <w:instrText xml:space="preserve"> PAGEREF _Toc24734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_Toc22794 </w:instrText>
      </w:r>
      <w:r>
        <w:rPr>
          <w:rFonts w:hint="default"/>
          <w:szCs w:val="24"/>
        </w:rPr>
        <w:fldChar w:fldCharType="separate"/>
      </w:r>
      <w:r>
        <w:rPr>
          <w:rFonts w:hint="eastAsia" w:ascii="仿宋" w:hAnsi="仿宋" w:eastAsia="仿宋" w:cs="仿宋"/>
          <w:szCs w:val="32"/>
          <w:shd w:val="clear" w:color="auto" w:fill="FFFFFF"/>
          <w:lang w:val="en-US" w:eastAsia="zh-CN"/>
        </w:rPr>
        <w:t>九、一般公共预算财政拨款项目支出决算表</w:t>
      </w:r>
      <w:r>
        <w:tab/>
      </w:r>
      <w:r>
        <w:fldChar w:fldCharType="begin"/>
      </w:r>
      <w:r>
        <w:instrText xml:space="preserve"> PAGEREF _Toc22794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_Toc30384 </w:instrText>
      </w:r>
      <w:r>
        <w:rPr>
          <w:rFonts w:hint="default"/>
          <w:szCs w:val="24"/>
        </w:rPr>
        <w:fldChar w:fldCharType="separate"/>
      </w:r>
      <w:r>
        <w:rPr>
          <w:rFonts w:hint="eastAsia" w:ascii="仿宋" w:hAnsi="仿宋" w:eastAsia="仿宋" w:cs="仿宋"/>
          <w:szCs w:val="32"/>
          <w:shd w:val="clear" w:color="auto" w:fill="FFFFFF"/>
          <w:lang w:val="en-US" w:eastAsia="zh-CN"/>
        </w:rPr>
        <w:t>十、政府性基金预算财政拨款收入支出决算表</w:t>
      </w:r>
      <w:r>
        <w:tab/>
      </w:r>
      <w:r>
        <w:fldChar w:fldCharType="begin"/>
      </w:r>
      <w:r>
        <w:instrText xml:space="preserve"> PAGEREF _Toc30384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_Toc25961 </w:instrText>
      </w:r>
      <w:r>
        <w:rPr>
          <w:rFonts w:hint="default"/>
          <w:szCs w:val="24"/>
        </w:rPr>
        <w:fldChar w:fldCharType="separate"/>
      </w:r>
      <w:r>
        <w:rPr>
          <w:rFonts w:hint="eastAsia" w:ascii="仿宋" w:hAnsi="仿宋" w:eastAsia="仿宋" w:cs="仿宋"/>
          <w:szCs w:val="32"/>
          <w:shd w:val="clear" w:color="auto" w:fill="FFFFFF"/>
          <w:lang w:val="en-US" w:eastAsia="zh-CN"/>
        </w:rPr>
        <w:t>十一、国有资本经营预算财政拨款收入支出决算表</w:t>
      </w:r>
      <w:r>
        <w:tab/>
      </w:r>
      <w:r>
        <w:fldChar w:fldCharType="begin"/>
      </w:r>
      <w:r>
        <w:instrText xml:space="preserve"> PAGEREF _Toc25961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_Toc27887 </w:instrText>
      </w:r>
      <w:r>
        <w:rPr>
          <w:rFonts w:hint="default"/>
          <w:szCs w:val="24"/>
        </w:rPr>
        <w:fldChar w:fldCharType="separate"/>
      </w:r>
      <w:r>
        <w:rPr>
          <w:rFonts w:hint="eastAsia" w:ascii="仿宋" w:hAnsi="仿宋" w:eastAsia="仿宋" w:cs="仿宋"/>
          <w:szCs w:val="32"/>
          <w:shd w:val="clear" w:color="auto" w:fill="FFFFFF"/>
          <w:lang w:val="en-US" w:eastAsia="zh-CN"/>
        </w:rPr>
        <w:t>十二、国有资本经营预算财政拨款支出决算表</w:t>
      </w:r>
      <w:r>
        <w:tab/>
      </w:r>
      <w:r>
        <w:fldChar w:fldCharType="begin"/>
      </w:r>
      <w:r>
        <w:instrText xml:space="preserve"> PAGEREF _Toc27887 \h </w:instrText>
      </w:r>
      <w:r>
        <w:fldChar w:fldCharType="separate"/>
      </w:r>
      <w:r>
        <w:t>45</w:t>
      </w:r>
      <w:r>
        <w:fldChar w:fldCharType="end"/>
      </w:r>
      <w:r>
        <w:rPr>
          <w:rFonts w:hint="default"/>
          <w:szCs w:val="24"/>
        </w:rPr>
        <w:fldChar w:fldCharType="end"/>
      </w:r>
    </w:p>
    <w:p>
      <w:pPr>
        <w:pStyle w:val="14"/>
        <w:tabs>
          <w:tab w:val="right" w:leader="dot" w:pos="8640"/>
        </w:tabs>
      </w:pPr>
      <w:r>
        <w:rPr>
          <w:rFonts w:hint="default"/>
          <w:szCs w:val="24"/>
        </w:rPr>
        <w:fldChar w:fldCharType="begin"/>
      </w:r>
      <w:r>
        <w:rPr>
          <w:rFonts w:hint="default"/>
          <w:szCs w:val="24"/>
        </w:rPr>
        <w:instrText xml:space="preserve"> HYPERLINK \l _Toc6974 </w:instrText>
      </w:r>
      <w:r>
        <w:rPr>
          <w:rFonts w:hint="default"/>
          <w:szCs w:val="24"/>
        </w:rPr>
        <w:fldChar w:fldCharType="separate"/>
      </w:r>
      <w:r>
        <w:rPr>
          <w:rFonts w:hint="eastAsia" w:ascii="仿宋" w:hAnsi="仿宋" w:eastAsia="仿宋" w:cs="仿宋"/>
          <w:szCs w:val="32"/>
          <w:shd w:val="clear" w:color="auto" w:fill="FFFFFF"/>
          <w:lang w:val="en-US" w:eastAsia="zh-CN"/>
        </w:rPr>
        <w:t>十三、财政拨款“三公”经费支出决算表</w:t>
      </w:r>
      <w:r>
        <w:tab/>
      </w:r>
      <w:r>
        <w:fldChar w:fldCharType="begin"/>
      </w:r>
      <w:r>
        <w:instrText xml:space="preserve"> PAGEREF _Toc6974 \h </w:instrText>
      </w:r>
      <w:r>
        <w:fldChar w:fldCharType="separate"/>
      </w:r>
      <w:r>
        <w:t>45</w:t>
      </w:r>
      <w:r>
        <w:fldChar w:fldCharType="end"/>
      </w:r>
      <w:r>
        <w:rPr>
          <w:rFonts w:hint="default"/>
          <w:szCs w:val="24"/>
        </w:rPr>
        <w:fldChar w:fldCharType="end"/>
      </w:r>
    </w:p>
    <w:p>
      <w:pPr>
        <w:pStyle w:val="13"/>
        <w:tabs>
          <w:tab w:val="right" w:leader="dot" w:pos="8640"/>
        </w:tabs>
        <w:rPr>
          <w:rFonts w:hint="eastAsia" w:ascii="Times New Roman" w:hAnsi="Times New Roman" w:eastAsia="黑体"/>
          <w:sz w:val="32"/>
          <w:szCs w:val="24"/>
          <w:lang w:val="zh-CN"/>
        </w:rPr>
      </w:pPr>
      <w:r>
        <w:rPr>
          <w:rFonts w:hint="default"/>
          <w:szCs w:val="24"/>
        </w:rPr>
        <w:fldChar w:fldCharType="end"/>
      </w:r>
    </w:p>
    <w:p>
      <w:pPr>
        <w:jc w:val="center"/>
        <w:outlineLvl w:val="0"/>
        <w:rPr>
          <w:rFonts w:hint="eastAsia" w:ascii="Times New Roman" w:hAnsi="Times New Roman" w:eastAsia="黑体"/>
          <w:sz w:val="44"/>
          <w:szCs w:val="24"/>
          <w:lang w:val="zh-CN"/>
        </w:rPr>
      </w:pPr>
    </w:p>
    <w:p>
      <w:pPr>
        <w:jc w:val="center"/>
        <w:outlineLvl w:val="0"/>
        <w:rPr>
          <w:rFonts w:hint="eastAsia" w:ascii="Times New Roman" w:hAnsi="Times New Roman" w:eastAsia="黑体"/>
          <w:sz w:val="44"/>
          <w:szCs w:val="24"/>
          <w:lang w:val="zh-CN"/>
        </w:rPr>
      </w:pPr>
    </w:p>
    <w:p>
      <w:pPr>
        <w:jc w:val="center"/>
        <w:outlineLvl w:val="0"/>
        <w:rPr>
          <w:rFonts w:hint="eastAsia" w:ascii="Times New Roman" w:hAnsi="Times New Roman" w:eastAsia="黑体"/>
          <w:sz w:val="36"/>
          <w:szCs w:val="24"/>
          <w:lang w:val="zh-CN"/>
        </w:rPr>
      </w:pPr>
      <w:bookmarkStart w:id="9" w:name="_Toc6729"/>
      <w:r>
        <w:rPr>
          <w:rFonts w:hint="eastAsia" w:ascii="Times New Roman" w:hAnsi="Times New Roman" w:eastAsia="黑体"/>
          <w:sz w:val="44"/>
          <w:szCs w:val="24"/>
          <w:lang w:val="zh-CN"/>
        </w:rPr>
        <w:t>第一部分 部门概况</w:t>
      </w:r>
      <w:bookmarkEnd w:id="6"/>
      <w:bookmarkEnd w:id="7"/>
      <w:bookmarkEnd w:id="8"/>
      <w:bookmarkEnd w:id="9"/>
    </w:p>
    <w:p>
      <w:pPr>
        <w:spacing w:line="560" w:lineRule="exact"/>
        <w:ind w:firstLine="640" w:firstLineChars="200"/>
        <w:rPr>
          <w:rFonts w:hint="eastAsia" w:ascii="黑体" w:hAnsi="黑体" w:eastAsia="黑体" w:cs="黑体"/>
          <w:sz w:val="32"/>
          <w:szCs w:val="24"/>
          <w:lang w:val="zh-CN"/>
        </w:rPr>
      </w:pPr>
      <w:bookmarkStart w:id="10" w:name="_Toc32498"/>
      <w:bookmarkStart w:id="11" w:name="_Toc12724"/>
      <w:bookmarkStart w:id="12" w:name="_Toc2624"/>
    </w:p>
    <w:p>
      <w:pPr>
        <w:spacing w:line="560" w:lineRule="exact"/>
        <w:ind w:firstLine="640" w:firstLineChars="200"/>
        <w:outlineLvl w:val="1"/>
        <w:rPr>
          <w:rFonts w:hint="eastAsia" w:ascii="黑体" w:hAnsi="黑体" w:eastAsia="黑体" w:cs="黑体"/>
          <w:sz w:val="32"/>
          <w:szCs w:val="24"/>
          <w:lang w:val="zh-CN"/>
        </w:rPr>
      </w:pPr>
      <w:bookmarkStart w:id="13" w:name="_Toc24167"/>
      <w:r>
        <w:rPr>
          <w:rFonts w:hint="eastAsia" w:ascii="黑体" w:hAnsi="黑体" w:eastAsia="黑体" w:cs="黑体"/>
          <w:sz w:val="32"/>
          <w:szCs w:val="24"/>
          <w:lang w:val="zh-CN"/>
        </w:rPr>
        <w:t>一、部门职责</w:t>
      </w:r>
      <w:bookmarkEnd w:id="10"/>
      <w:bookmarkEnd w:id="11"/>
      <w:bookmarkEnd w:id="12"/>
      <w:bookmarkEnd w:id="13"/>
    </w:p>
    <w:p>
      <w:pPr>
        <w:spacing w:line="560" w:lineRule="exact"/>
        <w:ind w:firstLine="643" w:firstLineChars="200"/>
        <w:rPr>
          <w:rFonts w:hint="eastAsia" w:ascii="楷体" w:hAnsi="楷体" w:eastAsia="楷体" w:cs="楷体"/>
          <w:b/>
          <w:sz w:val="32"/>
          <w:szCs w:val="24"/>
        </w:rPr>
      </w:pPr>
      <w:bookmarkStart w:id="14" w:name="_Toc7439"/>
      <w:bookmarkStart w:id="15" w:name="_Toc15378445"/>
      <w:bookmarkStart w:id="16" w:name="_Toc15171"/>
      <w:bookmarkStart w:id="17" w:name="_Toc15377198"/>
      <w:r>
        <w:rPr>
          <w:rFonts w:hint="eastAsia" w:ascii="楷体" w:hAnsi="楷体" w:eastAsia="楷体" w:cs="楷体"/>
          <w:b/>
          <w:sz w:val="32"/>
          <w:szCs w:val="24"/>
        </w:rPr>
        <w:t>（一）主要职能</w:t>
      </w:r>
      <w:bookmarkEnd w:id="14"/>
      <w:bookmarkEnd w:id="15"/>
      <w:bookmarkEnd w:id="16"/>
      <w:bookmarkEnd w:id="17"/>
    </w:p>
    <w:p>
      <w:pPr>
        <w:pStyle w:val="7"/>
        <w:numPr>
          <w:ilvl w:val="0"/>
          <w:numId w:val="0"/>
        </w:numPr>
        <w:autoSpaceDE/>
        <w:autoSpaceDN/>
        <w:adjustRightInd/>
        <w:spacing w:beforeLines="0" w:line="560" w:lineRule="exact"/>
        <w:ind w:firstLine="640" w:firstLineChars="200"/>
        <w:rPr>
          <w:rFonts w:hint="eastAsia" w:ascii="Times New Roman" w:cs="Times New Roman"/>
          <w:kern w:val="2"/>
          <w:sz w:val="32"/>
          <w:szCs w:val="32"/>
          <w:lang w:val="en-US" w:eastAsia="zh-CN" w:bidi="ar-SA"/>
        </w:rPr>
      </w:pPr>
      <w:bookmarkStart w:id="18" w:name="_Toc10797"/>
      <w:r>
        <w:rPr>
          <w:rFonts w:hint="eastAsia" w:ascii="Times New Roman" w:cs="Times New Roman"/>
          <w:kern w:val="2"/>
          <w:sz w:val="32"/>
          <w:szCs w:val="32"/>
          <w:lang w:val="en-US" w:eastAsia="zh-CN" w:bidi="ar-SA"/>
        </w:rPr>
        <w:t>镇党政机构具有党委和政府两种职能，党委领导政府工作，主要是政治思想和方针政策的领导，干部的选拔，考核和监督，经济和行政工作中重大问题的决策。镇政府是基层国家行政机关，行使本行政区的行政职能。</w:t>
      </w:r>
      <w:bookmarkEnd w:id="18"/>
    </w:p>
    <w:p>
      <w:pPr>
        <w:pStyle w:val="7"/>
        <w:numPr>
          <w:ilvl w:val="0"/>
          <w:numId w:val="0"/>
        </w:numPr>
        <w:autoSpaceDE/>
        <w:autoSpaceDN/>
        <w:adjustRightInd/>
        <w:spacing w:beforeLines="0" w:line="560" w:lineRule="exact"/>
        <w:ind w:firstLine="640" w:firstLineChars="200"/>
        <w:rPr>
          <w:rFonts w:hint="eastAsia" w:ascii="Times New Roman" w:cs="Times New Roman"/>
          <w:kern w:val="2"/>
          <w:sz w:val="32"/>
          <w:szCs w:val="32"/>
          <w:lang w:val="en-US" w:eastAsia="zh-CN" w:bidi="ar-SA"/>
        </w:rPr>
      </w:pPr>
      <w:bookmarkStart w:id="19" w:name="_Toc17761"/>
      <w:r>
        <w:rPr>
          <w:rFonts w:hint="eastAsia" w:ascii="Times New Roman" w:cs="Times New Roman"/>
          <w:kern w:val="2"/>
          <w:sz w:val="32"/>
          <w:szCs w:val="32"/>
          <w:lang w:val="en-US" w:eastAsia="zh-CN" w:bidi="ar-SA"/>
        </w:rPr>
        <w:t>1.党委工作职责：一是保证</w:t>
      </w:r>
      <w:r>
        <w:rPr>
          <w:rFonts w:hint="eastAsia" w:ascii="Times New Roman" w:cs="Times New Roman"/>
          <w:kern w:val="2"/>
          <w:sz w:val="32"/>
          <w:szCs w:val="32"/>
          <w:u w:val="none" w:color="FFFFFF"/>
          <w:shd w:val="clear" w:fill="FFFFFF"/>
          <w:lang w:val="en-US" w:eastAsia="zh-CN" w:bidi="ar-SA"/>
        </w:rPr>
        <w:t>党的路线方针政策</w:t>
      </w:r>
      <w:r>
        <w:rPr>
          <w:rFonts w:hint="eastAsia" w:ascii="Times New Roman" w:cs="Times New Roman"/>
          <w:kern w:val="2"/>
          <w:sz w:val="32"/>
          <w:szCs w:val="32"/>
          <w:lang w:val="en-US" w:eastAsia="zh-CN" w:bidi="ar-SA"/>
        </w:rPr>
        <w:t>的坚决贯彻执行。</w:t>
      </w:r>
      <w:r>
        <w:rPr>
          <w:rFonts w:hint="eastAsia" w:ascii="Times New Roman" w:cs="Times New Roman"/>
          <w:kern w:val="2"/>
          <w:sz w:val="32"/>
          <w:szCs w:val="32"/>
          <w:u w:val="none" w:color="FFFFFF"/>
          <w:shd w:val="clear" w:fill="FFFFFF"/>
          <w:lang w:val="en-US" w:eastAsia="zh-CN" w:bidi="ar-SA"/>
        </w:rPr>
        <w:t>二是保证监督职能。</w:t>
      </w:r>
      <w:r>
        <w:rPr>
          <w:rFonts w:hint="eastAsia" w:ascii="Times New Roman" w:cs="Times New Roman"/>
          <w:kern w:val="2"/>
          <w:sz w:val="32"/>
          <w:szCs w:val="32"/>
          <w:u w:val="none" w:color="FFFFFF"/>
          <w:shd w:val="clear" w:fill="FFFFFF"/>
          <w:lang w:val="en-US" w:eastAsia="zh-CN" w:bidi="ar-SA"/>
        </w:rPr>
        <w:t>三是发挥教育和管理职能。</w:t>
      </w:r>
      <w:r>
        <w:rPr>
          <w:rFonts w:hint="eastAsia" w:ascii="Times New Roman" w:cs="Times New Roman"/>
          <w:kern w:val="2"/>
          <w:sz w:val="32"/>
          <w:szCs w:val="32"/>
          <w:lang w:val="en-US" w:eastAsia="zh-CN" w:bidi="ar-SA"/>
        </w:rPr>
        <w:t>四是服从和服务于经济建设的职能。五是负责抓好本镇党建工作、群团工作、精神文明建设工作、新闻宣传工作。六是完成上级组织交给的其他工作任务。</w:t>
      </w:r>
      <w:bookmarkEnd w:id="19"/>
    </w:p>
    <w:p>
      <w:pPr>
        <w:pStyle w:val="7"/>
        <w:numPr>
          <w:ilvl w:val="0"/>
          <w:numId w:val="0"/>
        </w:numPr>
        <w:autoSpaceDE/>
        <w:autoSpaceDN/>
        <w:adjustRightInd/>
        <w:spacing w:beforeLines="0" w:line="560" w:lineRule="exact"/>
        <w:ind w:firstLine="640" w:firstLineChars="200"/>
        <w:rPr>
          <w:rFonts w:hint="eastAsia" w:ascii="Times New Roman" w:cs="Times New Roman"/>
          <w:kern w:val="2"/>
          <w:sz w:val="32"/>
          <w:szCs w:val="32"/>
          <w:lang w:val="en-US" w:eastAsia="zh-CN" w:bidi="ar-SA"/>
        </w:rPr>
      </w:pPr>
      <w:bookmarkStart w:id="20" w:name="_Toc12936"/>
      <w:r>
        <w:rPr>
          <w:rFonts w:hint="eastAsia" w:ascii="Times New Roman" w:cs="Times New Roman"/>
          <w:kern w:val="2"/>
          <w:sz w:val="32"/>
          <w:szCs w:val="32"/>
          <w:lang w:val="en-US" w:eastAsia="zh-CN" w:bidi="ar-SA"/>
        </w:rPr>
        <w:t>2.政府职能：一是制定和组织实施经济、科技和社会发展计划，制定资源开</w:t>
      </w:r>
      <w:r>
        <w:rPr>
          <w:rFonts w:hint="eastAsia" w:ascii="Times New Roman" w:cs="Times New Roman"/>
          <w:kern w:val="2"/>
          <w:sz w:val="32"/>
          <w:szCs w:val="32"/>
          <w:u w:val="none" w:color="FFFFFF"/>
          <w:shd w:val="clear" w:fill="FFFFFF"/>
          <w:lang w:val="en-US" w:eastAsia="zh-CN" w:bidi="ar-SA"/>
        </w:rPr>
        <w:t>发</w:t>
      </w:r>
      <w:r>
        <w:rPr>
          <w:rFonts w:hint="eastAsia" w:ascii="Times New Roman" w:cs="Times New Roman"/>
          <w:kern w:val="2"/>
          <w:sz w:val="32"/>
          <w:szCs w:val="32"/>
          <w:lang w:val="en-US" w:eastAsia="zh-CN" w:bidi="ar-SA"/>
        </w:rPr>
        <w:t>技术改造和产业结构调整方案，组织指导好</w:t>
      </w:r>
      <w:r>
        <w:rPr>
          <w:rFonts w:hint="eastAsia" w:ascii="Times New Roman" w:cs="Times New Roman"/>
          <w:kern w:val="2"/>
          <w:sz w:val="32"/>
          <w:szCs w:val="32"/>
          <w:u w:val="none" w:color="FFFFFF"/>
          <w:shd w:val="clear" w:fill="FFFFFF"/>
          <w:lang w:val="en-US" w:eastAsia="zh-CN" w:bidi="ar-SA"/>
        </w:rPr>
        <w:t>产业</w:t>
      </w:r>
      <w:r>
        <w:rPr>
          <w:rFonts w:hint="eastAsia" w:ascii="Times New Roman" w:cs="Times New Roman"/>
          <w:kern w:val="2"/>
          <w:sz w:val="32"/>
          <w:szCs w:val="32"/>
          <w:lang w:val="en-US" w:eastAsia="zh-CN" w:bidi="ar-SA"/>
        </w:rPr>
        <w:t>生产，搞好商品流通，协调好本镇与外地区的经济交流与合作，抓好招商引资，人才</w:t>
      </w:r>
      <w:r>
        <w:rPr>
          <w:rFonts w:hint="eastAsia" w:ascii="Times New Roman" w:cs="Times New Roman"/>
          <w:kern w:val="2"/>
          <w:sz w:val="32"/>
          <w:szCs w:val="32"/>
          <w:u w:val="none" w:color="FFFFFF"/>
          <w:shd w:val="clear" w:fill="FFFFFF"/>
          <w:lang w:val="en-US" w:eastAsia="zh-CN" w:bidi="ar-SA"/>
        </w:rPr>
        <w:t>引进和</w:t>
      </w:r>
      <w:r>
        <w:rPr>
          <w:rFonts w:hint="eastAsia" w:ascii="Times New Roman" w:cs="Times New Roman"/>
          <w:kern w:val="2"/>
          <w:sz w:val="32"/>
          <w:szCs w:val="32"/>
          <w:lang w:val="en-US" w:eastAsia="zh-CN" w:bidi="ar-SA"/>
        </w:rPr>
        <w:t>项目开发，不断培育市场体系，组织经济运行，促进经济发展。二是制定并组织实施村镇建设规划，部署重点工程建设，地方道路建设及公共设施，水利设施的管理，负责土地、林木、水等自然资源和生态环境的保护，做好护林防火工作。三是负责本行政区域内的民政、计划生育、文化教育、卫生、体育等社会公益事业的综合性工作，维护一切经济单位和个人的正当经济权益，取缔非法经济活动，调解和处理民事纠纷，打击</w:t>
      </w:r>
      <w:r>
        <w:rPr>
          <w:rFonts w:hint="eastAsia" w:ascii="Times New Roman" w:cs="Times New Roman"/>
          <w:kern w:val="2"/>
          <w:sz w:val="32"/>
          <w:szCs w:val="32"/>
          <w:u w:val="none" w:color="FFFFFF"/>
          <w:shd w:val="clear" w:fill="FFFFFF"/>
          <w:lang w:val="en-US" w:eastAsia="zh-CN" w:bidi="ar-SA"/>
        </w:rPr>
        <w:t>刑事犯罪和</w:t>
      </w:r>
      <w:r>
        <w:rPr>
          <w:rFonts w:hint="eastAsia" w:ascii="Times New Roman" w:cs="Times New Roman"/>
          <w:kern w:val="2"/>
          <w:sz w:val="32"/>
          <w:szCs w:val="32"/>
          <w:lang w:val="en-US" w:eastAsia="zh-CN" w:bidi="ar-SA"/>
        </w:rPr>
        <w:t>维护社会稳定。四是按计划组织本级财政收入和地方税的征收，完成国家财政计划，不断培植税源，管好财政资金，增强财政实力。五是抓好精神文明建设，丰富群众文化生活，提倡移风易俗，反对封建迷信，破除陈规陋习，树立社会主义新风尚。六是完成上级政府交办的</w:t>
      </w:r>
      <w:r>
        <w:rPr>
          <w:rFonts w:hint="eastAsia" w:ascii="Times New Roman" w:cs="Times New Roman"/>
          <w:kern w:val="2"/>
          <w:sz w:val="32"/>
          <w:szCs w:val="32"/>
          <w:u w:val="none" w:color="FFFFFF"/>
          <w:shd w:val="clear" w:fill="FFFFFF"/>
          <w:lang w:val="en-US" w:eastAsia="zh-CN" w:bidi="ar-SA"/>
        </w:rPr>
        <w:t>其他</w:t>
      </w:r>
      <w:r>
        <w:rPr>
          <w:rFonts w:hint="eastAsia" w:ascii="Times New Roman" w:cs="Times New Roman"/>
          <w:kern w:val="2"/>
          <w:sz w:val="32"/>
          <w:szCs w:val="32"/>
          <w:lang w:val="en-US" w:eastAsia="zh-CN" w:bidi="ar-SA"/>
        </w:rPr>
        <w:t>事项。</w:t>
      </w:r>
      <w:bookmarkEnd w:id="20"/>
    </w:p>
    <w:p>
      <w:pPr>
        <w:spacing w:line="560" w:lineRule="exact"/>
        <w:ind w:firstLine="643" w:firstLineChars="200"/>
        <w:rPr>
          <w:rFonts w:hint="eastAsia" w:ascii="楷体" w:hAnsi="楷体" w:eastAsia="楷体" w:cs="楷体"/>
          <w:b/>
          <w:sz w:val="32"/>
          <w:szCs w:val="24"/>
        </w:rPr>
      </w:pPr>
      <w:bookmarkStart w:id="21" w:name="_Toc15377199"/>
      <w:bookmarkStart w:id="22" w:name="_Toc23417"/>
      <w:bookmarkStart w:id="23" w:name="_Toc14286"/>
      <w:bookmarkStart w:id="24" w:name="_Toc15378446"/>
      <w:r>
        <w:rPr>
          <w:rFonts w:hint="eastAsia" w:ascii="楷体" w:hAnsi="楷体" w:eastAsia="楷体" w:cs="楷体"/>
          <w:b/>
          <w:sz w:val="32"/>
          <w:szCs w:val="24"/>
        </w:rPr>
        <w:t>（二）20</w:t>
      </w:r>
      <w:r>
        <w:rPr>
          <w:rFonts w:hint="eastAsia" w:ascii="楷体" w:hAnsi="楷体" w:eastAsia="楷体" w:cs="楷体"/>
          <w:b/>
          <w:sz w:val="32"/>
          <w:szCs w:val="24"/>
          <w:lang w:val="en-US" w:eastAsia="zh-CN"/>
        </w:rPr>
        <w:t>22</w:t>
      </w:r>
      <w:r>
        <w:rPr>
          <w:rFonts w:hint="eastAsia" w:ascii="楷体" w:hAnsi="楷体" w:eastAsia="楷体" w:cs="楷体"/>
          <w:b/>
          <w:sz w:val="32"/>
          <w:szCs w:val="24"/>
        </w:rPr>
        <w:t>年重点工作完成情况</w:t>
      </w:r>
      <w:bookmarkEnd w:id="21"/>
      <w:bookmarkEnd w:id="22"/>
      <w:bookmarkEnd w:id="23"/>
      <w:bookmarkEnd w:id="24"/>
    </w:p>
    <w:p>
      <w:pPr>
        <w:pStyle w:val="7"/>
        <w:numPr>
          <w:ilvl w:val="0"/>
          <w:numId w:val="0"/>
        </w:numPr>
        <w:autoSpaceDE/>
        <w:autoSpaceDN/>
        <w:adjustRightInd/>
        <w:spacing w:beforeLines="0" w:line="560" w:lineRule="exact"/>
        <w:ind w:firstLine="640" w:firstLineChars="200"/>
        <w:rPr>
          <w:rFonts w:hint="eastAsia" w:ascii="Times New Roman" w:eastAsia="Times New Roman" w:cs="Times New Roman"/>
          <w:kern w:val="2"/>
          <w:sz w:val="32"/>
          <w:szCs w:val="32"/>
          <w:lang w:val="en-US" w:eastAsia="zh-CN" w:bidi="ar-SA"/>
        </w:rPr>
      </w:pPr>
      <w:r>
        <w:rPr>
          <w:rFonts w:hint="eastAsia" w:ascii="Times New Roman" w:eastAsia="Times New Roman" w:cs="Times New Roman"/>
          <w:kern w:val="2"/>
          <w:sz w:val="32"/>
          <w:szCs w:val="32"/>
          <w:lang w:val="en-US" w:eastAsia="zh-CN" w:bidi="ar-SA"/>
        </w:rPr>
        <w:t>1.</w:t>
      </w:r>
      <w:r>
        <w:rPr>
          <w:rFonts w:hint="eastAsia" w:ascii="Times New Roman" w:cs="Times New Roman"/>
          <w:kern w:val="2"/>
          <w:sz w:val="32"/>
          <w:szCs w:val="32"/>
          <w:lang w:val="en-US" w:eastAsia="zh-CN" w:bidi="ar-SA"/>
        </w:rPr>
        <w:t>坚持以高质量发展为要务，推进乡村振兴新战略。进一步完善基础设施，优化村社规划，完善污水治理、绿化美化、硬化亮化等基础设施；继续深化人居环境综合整治，推进村（社区）清洁行动。</w:t>
      </w:r>
    </w:p>
    <w:p>
      <w:pPr>
        <w:pStyle w:val="7"/>
        <w:numPr>
          <w:ilvl w:val="0"/>
          <w:numId w:val="0"/>
        </w:numPr>
        <w:autoSpaceDE/>
        <w:autoSpaceDN/>
        <w:adjustRightInd/>
        <w:spacing w:beforeLines="0" w:line="560" w:lineRule="exact"/>
        <w:ind w:firstLine="640" w:firstLineChars="200"/>
        <w:rPr>
          <w:rFonts w:hint="eastAsia" w:ascii="Times New Roman" w:eastAsia="Times New Roman" w:cs="Times New Roman"/>
          <w:kern w:val="2"/>
          <w:sz w:val="32"/>
          <w:szCs w:val="32"/>
          <w:lang w:val="en-US" w:eastAsia="zh-CN" w:bidi="ar-SA"/>
        </w:rPr>
      </w:pPr>
      <w:r>
        <w:rPr>
          <w:rFonts w:hint="eastAsia" w:ascii="Times New Roman" w:eastAsia="Times New Roman" w:cs="Times New Roman"/>
          <w:kern w:val="2"/>
          <w:sz w:val="32"/>
          <w:szCs w:val="32"/>
          <w:lang w:val="en-US" w:eastAsia="zh-CN" w:bidi="ar-SA"/>
        </w:rPr>
        <w:t>2.</w:t>
      </w:r>
      <w:r>
        <w:rPr>
          <w:rFonts w:hint="eastAsia" w:ascii="Times New Roman" w:cs="Times New Roman"/>
          <w:kern w:val="2"/>
          <w:sz w:val="32"/>
          <w:szCs w:val="32"/>
          <w:lang w:val="en-US" w:eastAsia="zh-CN" w:bidi="ar-SA"/>
        </w:rPr>
        <w:t>坚持以深化改革为抓手，助力振兴产业添后劲。</w:t>
      </w:r>
      <w:r>
        <w:rPr>
          <w:rFonts w:hint="eastAsia" w:ascii="Times New Roman" w:cs="Times New Roman"/>
          <w:kern w:val="2"/>
          <w:sz w:val="32"/>
          <w:szCs w:val="32"/>
          <w:u w:val="thick" w:color="98967F"/>
          <w:shd w:val="clear" w:fill="98967F"/>
          <w:lang w:val="en-US" w:eastAsia="zh-CN" w:bidi="ar-SA"/>
        </w:rPr>
        <w:t>积极引导人才回乡创业，加大对现有农业企业的培植力度，深入开展好</w:t>
      </w:r>
      <w:r>
        <w:rPr>
          <w:rFonts w:hint="eastAsia" w:ascii="Times New Roman" w:cs="Times New Roman"/>
          <w:kern w:val="2"/>
          <w:sz w:val="32"/>
          <w:szCs w:val="32"/>
          <w:u w:val="thick" w:color="98967F"/>
          <w:shd w:val="clear" w:fill="98967F"/>
          <w:lang w:val="en-US" w:eastAsia="zh-CN" w:bidi="ar-SA"/>
        </w:rPr>
        <w:t>“放管服”</w:t>
      </w:r>
      <w:r>
        <w:rPr>
          <w:rFonts w:hint="eastAsia" w:ascii="Times New Roman" w:cs="Times New Roman"/>
          <w:kern w:val="2"/>
          <w:sz w:val="32"/>
          <w:szCs w:val="32"/>
          <w:u w:val="thick" w:color="98967F"/>
          <w:shd w:val="clear" w:fill="98967F"/>
          <w:lang w:val="en-US" w:eastAsia="zh-CN" w:bidi="ar-SA"/>
        </w:rPr>
        <w:t>，帮助农业产业企业排忧解难；</w:t>
      </w:r>
      <w:r>
        <w:rPr>
          <w:rFonts w:hint="eastAsia" w:ascii="Times New Roman" w:cs="Times New Roman"/>
          <w:kern w:val="2"/>
          <w:sz w:val="32"/>
          <w:szCs w:val="32"/>
          <w:lang w:val="en-US" w:eastAsia="zh-CN" w:bidi="ar-SA"/>
        </w:rPr>
        <w:t>大力发展</w:t>
      </w:r>
      <w:r>
        <w:rPr>
          <w:rFonts w:hint="eastAsia" w:ascii="Times New Roman" w:cs="Times New Roman"/>
          <w:kern w:val="2"/>
          <w:sz w:val="32"/>
          <w:szCs w:val="32"/>
          <w:u w:val="none" w:color="FFFFFF"/>
          <w:shd w:val="clear" w:fill="FFFFFF"/>
          <w:lang w:val="en-US" w:eastAsia="zh-CN" w:bidi="ar-SA"/>
        </w:rPr>
        <w:t>新</w:t>
      </w:r>
      <w:r>
        <w:rPr>
          <w:rFonts w:hint="eastAsia" w:ascii="Times New Roman" w:cs="Times New Roman"/>
          <w:kern w:val="2"/>
          <w:sz w:val="32"/>
          <w:szCs w:val="32"/>
          <w:lang w:val="en-US" w:eastAsia="zh-CN" w:bidi="ar-SA"/>
        </w:rPr>
        <w:t>农村产业，打造“一镇一业”“一村一品”。</w:t>
      </w:r>
    </w:p>
    <w:p>
      <w:pPr>
        <w:pStyle w:val="7"/>
        <w:numPr>
          <w:ilvl w:val="0"/>
          <w:numId w:val="0"/>
        </w:numPr>
        <w:autoSpaceDE/>
        <w:autoSpaceDN/>
        <w:adjustRightInd/>
        <w:spacing w:beforeLines="0" w:line="560" w:lineRule="exact"/>
        <w:ind w:firstLine="640" w:firstLineChars="200"/>
        <w:rPr>
          <w:rFonts w:hint="eastAsia" w:ascii="Times New Roman" w:eastAsia="Times New Roman" w:cs="Times New Roman"/>
          <w:kern w:val="2"/>
          <w:sz w:val="32"/>
          <w:szCs w:val="32"/>
          <w:lang w:val="en-US" w:eastAsia="zh-CN" w:bidi="ar-SA"/>
        </w:rPr>
      </w:pPr>
      <w:r>
        <w:rPr>
          <w:rFonts w:hint="eastAsia" w:ascii="Times New Roman" w:eastAsia="Times New Roman" w:cs="Times New Roman"/>
          <w:kern w:val="2"/>
          <w:sz w:val="32"/>
          <w:szCs w:val="32"/>
          <w:u w:val="none" w:color="FFFFFF"/>
          <w:shd w:val="clear" w:fill="FFFFFF"/>
          <w:lang w:val="en-US" w:eastAsia="zh-CN" w:bidi="ar-SA"/>
        </w:rPr>
        <w:t>3.坚持以改善民生为根本，不断增强人民群众的获得感。</w:t>
      </w:r>
      <w:r>
        <w:rPr>
          <w:rFonts w:hint="eastAsia" w:ascii="Times New Roman" w:cs="Times New Roman"/>
          <w:kern w:val="2"/>
          <w:sz w:val="32"/>
          <w:szCs w:val="32"/>
          <w:lang w:val="en-US" w:eastAsia="zh-CN" w:bidi="ar-SA"/>
        </w:rPr>
        <w:t>坚持脱贫不脱政策，健全防止返贫动态监测和帮扶机制；推进创业就业富民工程，带动全镇农村剩余劳动力充分就业、稳定增收；扎实做好低保动态管理、大病临时救助，确保弱势群体生活有保障。</w:t>
      </w:r>
    </w:p>
    <w:p>
      <w:pPr>
        <w:pStyle w:val="7"/>
        <w:numPr>
          <w:ilvl w:val="0"/>
          <w:numId w:val="0"/>
        </w:numPr>
        <w:autoSpaceDE/>
        <w:autoSpaceDN/>
        <w:adjustRightInd/>
        <w:spacing w:beforeLines="0" w:line="560" w:lineRule="exact"/>
        <w:ind w:firstLine="640" w:firstLineChars="200"/>
        <w:rPr>
          <w:rFonts w:hint="eastAsia" w:ascii="Times New Roman" w:eastAsia="Times New Roman" w:cs="Times New Roman"/>
          <w:kern w:val="2"/>
          <w:sz w:val="32"/>
          <w:szCs w:val="32"/>
          <w:lang w:val="en-US" w:eastAsia="zh-CN" w:bidi="ar-SA"/>
        </w:rPr>
      </w:pPr>
      <w:r>
        <w:rPr>
          <w:rFonts w:hint="eastAsia" w:ascii="Times New Roman" w:eastAsia="Times New Roman" w:cs="Times New Roman"/>
          <w:kern w:val="2"/>
          <w:sz w:val="32"/>
          <w:szCs w:val="32"/>
          <w:lang w:val="en-US" w:eastAsia="zh-CN" w:bidi="ar-SA"/>
        </w:rPr>
        <w:t>4.</w:t>
      </w:r>
      <w:r>
        <w:rPr>
          <w:rFonts w:hint="eastAsia" w:ascii="Times New Roman" w:cs="Times New Roman"/>
          <w:kern w:val="2"/>
          <w:sz w:val="32"/>
          <w:szCs w:val="32"/>
          <w:lang w:val="en-US" w:eastAsia="zh-CN" w:bidi="ar-SA"/>
        </w:rPr>
        <w:t>坚持以生命至上为底线，筑牢安全稳定防护墙。深入推进平安建设，坚决打击各类黑恶犯罪，坚持化解存量、遏制增量，持续巩固信访无越级上访成果，深化基层民主治理，全面修订完善村规民约。</w:t>
      </w:r>
    </w:p>
    <w:p>
      <w:pPr>
        <w:pStyle w:val="7"/>
        <w:numPr>
          <w:ilvl w:val="0"/>
          <w:numId w:val="0"/>
        </w:numPr>
        <w:autoSpaceDE/>
        <w:autoSpaceDN/>
        <w:adjustRightInd/>
        <w:spacing w:beforeLines="0" w:line="560" w:lineRule="exact"/>
        <w:ind w:firstLine="640" w:firstLineChars="200"/>
        <w:rPr>
          <w:rFonts w:hint="eastAsia" w:ascii="Times New Roman" w:eastAsia="Times New Roman" w:cs="Times New Roman"/>
          <w:color w:val="000000"/>
          <w:sz w:val="32"/>
          <w:szCs w:val="32"/>
          <w:shd w:val="clear" w:color="auto" w:fill="FFFFFF"/>
          <w:lang w:val="zh-CN"/>
        </w:rPr>
      </w:pPr>
      <w:r>
        <w:rPr>
          <w:rFonts w:hint="eastAsia" w:ascii="Times New Roman" w:eastAsia="Times New Roman" w:cs="Times New Roman"/>
          <w:kern w:val="2"/>
          <w:sz w:val="32"/>
          <w:szCs w:val="32"/>
          <w:lang w:val="en-US" w:eastAsia="zh-CN" w:bidi="ar-SA"/>
        </w:rPr>
        <w:t>5.</w:t>
      </w:r>
      <w:r>
        <w:rPr>
          <w:rFonts w:hint="eastAsia" w:ascii="Times New Roman" w:cs="Times New Roman"/>
          <w:kern w:val="2"/>
          <w:sz w:val="32"/>
          <w:szCs w:val="32"/>
          <w:lang w:val="en-US" w:eastAsia="zh-CN" w:bidi="ar-SA"/>
        </w:rPr>
        <w:t>坚持以转变职能为保障，推动自身</w:t>
      </w:r>
      <w:r>
        <w:rPr>
          <w:rFonts w:hint="eastAsia" w:ascii="Times New Roman" w:cs="Times New Roman"/>
          <w:kern w:val="2"/>
          <w:sz w:val="32"/>
          <w:szCs w:val="32"/>
          <w:u w:val="none" w:color="FFFFFF"/>
          <w:shd w:val="clear" w:fill="FFFFFF"/>
          <w:lang w:val="en-US" w:eastAsia="zh-CN" w:bidi="ar-SA"/>
        </w:rPr>
        <w:t>建设迈</w:t>
      </w:r>
      <w:r>
        <w:rPr>
          <w:rFonts w:hint="eastAsia" w:ascii="Times New Roman" w:cs="Times New Roman"/>
          <w:kern w:val="2"/>
          <w:sz w:val="32"/>
          <w:szCs w:val="32"/>
          <w:lang w:val="en-US" w:eastAsia="zh-CN" w:bidi="ar-SA"/>
        </w:rPr>
        <w:t>上台阶。打造服务型政府，优化办事流程和服务标准，打通群众办事“最后一公里”，提高公信力，认真落实党风廉政建设责任制，树立行为规范、运转协调、廉洁高效的良好形象。</w:t>
      </w:r>
    </w:p>
    <w:p>
      <w:pPr>
        <w:spacing w:line="560" w:lineRule="exact"/>
        <w:ind w:firstLine="640" w:firstLineChars="200"/>
        <w:outlineLvl w:val="1"/>
        <w:rPr>
          <w:rFonts w:hint="eastAsia" w:ascii="黑体" w:hAnsi="黑体" w:eastAsia="黑体" w:cs="黑体"/>
          <w:sz w:val="32"/>
          <w:szCs w:val="24"/>
          <w:lang w:val="zh-CN"/>
        </w:rPr>
      </w:pPr>
      <w:bookmarkStart w:id="25" w:name="_Toc18790"/>
      <w:bookmarkStart w:id="26" w:name="_Toc770"/>
      <w:bookmarkStart w:id="27" w:name="_Toc14330"/>
      <w:bookmarkStart w:id="28" w:name="_Toc12791"/>
      <w:r>
        <w:rPr>
          <w:rFonts w:hint="eastAsia" w:ascii="黑体" w:hAnsi="黑体" w:eastAsia="黑体" w:cs="黑体"/>
          <w:sz w:val="32"/>
          <w:szCs w:val="24"/>
          <w:lang w:val="en-US" w:eastAsia="zh-CN"/>
        </w:rPr>
        <w:t>二、</w:t>
      </w:r>
      <w:r>
        <w:rPr>
          <w:rFonts w:hint="eastAsia" w:ascii="黑体" w:hAnsi="黑体" w:eastAsia="黑体" w:cs="黑体"/>
          <w:sz w:val="32"/>
          <w:szCs w:val="24"/>
          <w:lang w:val="zh-CN"/>
        </w:rPr>
        <w:t>机构设置</w:t>
      </w:r>
      <w:bookmarkEnd w:id="25"/>
      <w:bookmarkEnd w:id="26"/>
      <w:bookmarkEnd w:id="27"/>
      <w:bookmarkEnd w:id="28"/>
    </w:p>
    <w:p>
      <w:pPr>
        <w:spacing w:line="56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板桥口镇行政单位1个，下属二级单位3个，其中</w:t>
      </w:r>
      <w:r>
        <w:rPr>
          <w:rFonts w:hint="eastAsia" w:ascii="Times New Roman" w:hAnsi="Times New Roman" w:eastAsia="仿宋_GB2312" w:cs="Times New Roman"/>
          <w:kern w:val="2"/>
          <w:sz w:val="32"/>
          <w:szCs w:val="32"/>
          <w:u w:val="none" w:color="FFFFFF"/>
          <w:shd w:val="clear" w:fill="FFFFFF"/>
          <w:lang w:val="en-US" w:eastAsia="zh-CN" w:bidi="ar-SA"/>
        </w:rPr>
        <w:t>：</w:t>
      </w:r>
      <w:r>
        <w:rPr>
          <w:rFonts w:hint="eastAsia" w:ascii="Times New Roman" w:hAnsi="Times New Roman" w:eastAsia="仿宋_GB2312" w:cs="Times New Roman"/>
          <w:kern w:val="2"/>
          <w:sz w:val="32"/>
          <w:szCs w:val="32"/>
          <w:lang w:val="en-US" w:eastAsia="zh-CN" w:bidi="ar-SA"/>
        </w:rPr>
        <w:t>参照公务员法管理的事业单位无，其他事业单位3个。</w:t>
      </w:r>
    </w:p>
    <w:p>
      <w:pPr>
        <w:rPr>
          <w:rFonts w:hint="eastAsia" w:ascii="Times New Roman" w:hAnsi="Times New Roman" w:eastAsia="黑体"/>
          <w:sz w:val="32"/>
          <w:szCs w:val="24"/>
          <w:lang w:val="zh-CN"/>
        </w:rPr>
      </w:pPr>
      <w:bookmarkStart w:id="29" w:name="_Toc468"/>
      <w:bookmarkStart w:id="30" w:name="_Toc22419"/>
    </w:p>
    <w:p>
      <w:pPr>
        <w:rPr>
          <w:rFonts w:hint="eastAsia" w:ascii="Times New Roman" w:hAnsi="Times New Roman"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rPr>
          <w:rFonts w:hint="eastAsia" w:ascii="Times New Roman" w:hAnsi="Times New Roman" w:eastAsia="黑体"/>
          <w:sz w:val="32"/>
          <w:szCs w:val="24"/>
          <w:lang w:val="zh-CN"/>
        </w:rPr>
      </w:pPr>
    </w:p>
    <w:p>
      <w:pPr>
        <w:rPr>
          <w:rFonts w:hint="eastAsia" w:ascii="Times New Roman" w:hAnsi="Times New Roman"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rPr>
          <w:rFonts w:hint="eastAsia" w:ascii="Times New Roman" w:hAnsi="Times New Roman"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pStyle w:val="2"/>
        <w:rPr>
          <w:rFonts w:hint="eastAsia" w:eastAsia="黑体"/>
          <w:sz w:val="32"/>
          <w:szCs w:val="24"/>
          <w:lang w:val="zh-CN"/>
        </w:rPr>
      </w:pPr>
    </w:p>
    <w:p>
      <w:pPr>
        <w:numPr>
          <w:ilvl w:val="0"/>
          <w:numId w:val="1"/>
        </w:numPr>
        <w:jc w:val="center"/>
        <w:outlineLvl w:val="0"/>
        <w:rPr>
          <w:rFonts w:hint="eastAsia" w:ascii="Times New Roman" w:hAnsi="Times New Roman" w:eastAsia="黑体" w:cs="Times New Roman"/>
          <w:sz w:val="44"/>
          <w:szCs w:val="36"/>
          <w:lang w:val="zh-CN"/>
        </w:rPr>
      </w:pPr>
      <w:bookmarkStart w:id="31" w:name="_Toc29676"/>
      <w:bookmarkStart w:id="32" w:name="_Toc29535"/>
      <w:r>
        <w:rPr>
          <w:rFonts w:hint="eastAsia" w:ascii="Times New Roman" w:hAnsi="Times New Roman" w:eastAsia="黑体" w:cs="Times New Roman"/>
          <w:sz w:val="44"/>
          <w:szCs w:val="36"/>
          <w:lang w:val="zh-CN"/>
        </w:rPr>
        <w:t>2022年度部门决算情况说明</w:t>
      </w:r>
      <w:bookmarkEnd w:id="29"/>
      <w:bookmarkEnd w:id="30"/>
      <w:bookmarkEnd w:id="31"/>
      <w:bookmarkEnd w:id="32"/>
    </w:p>
    <w:p>
      <w:pPr>
        <w:pStyle w:val="2"/>
        <w:numPr>
          <w:ilvl w:val="0"/>
          <w:numId w:val="0"/>
        </w:numPr>
        <w:rPr>
          <w:rFonts w:hint="eastAsia"/>
          <w:sz w:val="24"/>
          <w:szCs w:val="24"/>
          <w:lang w:val="zh-CN"/>
        </w:rPr>
      </w:pPr>
    </w:p>
    <w:p>
      <w:pPr>
        <w:spacing w:line="560" w:lineRule="exact"/>
        <w:ind w:firstLine="640" w:firstLineChars="200"/>
        <w:outlineLvl w:val="1"/>
        <w:rPr>
          <w:rFonts w:hint="eastAsia" w:ascii="黑体" w:hAnsi="黑体" w:eastAsia="黑体" w:cs="黑体"/>
          <w:sz w:val="32"/>
          <w:szCs w:val="24"/>
          <w:lang w:val="zh-CN"/>
        </w:rPr>
      </w:pPr>
      <w:bookmarkStart w:id="33" w:name="_Toc30401"/>
      <w:bookmarkStart w:id="34" w:name="_Toc9036"/>
      <w:bookmarkStart w:id="35" w:name="_Toc11937"/>
      <w:bookmarkStart w:id="36" w:name="_Toc28195"/>
      <w:r>
        <w:rPr>
          <w:rFonts w:hint="eastAsia" w:ascii="黑体" w:hAnsi="黑体" w:eastAsia="黑体" w:cs="黑体"/>
          <w:sz w:val="32"/>
          <w:szCs w:val="24"/>
          <w:lang w:val="zh-CN"/>
        </w:rPr>
        <w:t>一、收入支出决算总体情况说明</w:t>
      </w:r>
      <w:bookmarkEnd w:id="33"/>
      <w:bookmarkEnd w:id="34"/>
      <w:bookmarkEnd w:id="35"/>
      <w:bookmarkEnd w:id="36"/>
    </w:p>
    <w:p>
      <w:pPr>
        <w:keepNext/>
        <w:keepLines/>
        <w:spacing w:line="576" w:lineRule="exact"/>
        <w:ind w:firstLine="640"/>
        <w:jc w:val="both"/>
        <w:rPr>
          <w:rFonts w:hint="eastAsia" w:ascii="仿宋_GB2312" w:hAnsi="仿宋_GB2312" w:eastAsia="仿宋_GB2312" w:cs="Times New Roman"/>
          <w:color w:val="000000"/>
          <w:kern w:val="2"/>
          <w:sz w:val="32"/>
          <w:szCs w:val="24"/>
          <w:lang w:val="zh-CN"/>
        </w:rPr>
      </w:pPr>
      <w:r>
        <w:rPr>
          <w:rFonts w:hint="eastAsia" w:ascii="仿宋_GB2312" w:hAnsi="仿宋_GB2312" w:eastAsia="仿宋_GB2312"/>
          <w:color w:val="000000"/>
          <w:kern w:val="2"/>
          <w:sz w:val="32"/>
          <w:szCs w:val="24"/>
          <w:lang w:val="zh-CN"/>
        </w:rPr>
        <w:t>2022年度收、支总计</w:t>
      </w:r>
      <w:r>
        <w:rPr>
          <w:rFonts w:hint="eastAsia" w:ascii="仿宋_GB2312" w:hAnsi="仿宋_GB2312" w:eastAsia="仿宋_GB2312"/>
          <w:color w:val="000000"/>
          <w:kern w:val="2"/>
          <w:sz w:val="32"/>
          <w:szCs w:val="24"/>
          <w:lang w:val="en-US" w:eastAsia="zh-CN"/>
        </w:rPr>
        <w:t>3016.08</w:t>
      </w:r>
      <w:r>
        <w:rPr>
          <w:rFonts w:hint="eastAsia" w:ascii="仿宋_GB2312" w:hAnsi="仿宋_GB2312" w:eastAsia="仿宋_GB2312"/>
          <w:color w:val="000000"/>
          <w:kern w:val="2"/>
          <w:sz w:val="32"/>
          <w:szCs w:val="24"/>
          <w:lang w:val="zh-CN"/>
        </w:rPr>
        <w:t>万元。与2021年相比，收、支</w:t>
      </w:r>
      <w:r>
        <w:rPr>
          <w:rFonts w:hint="eastAsia" w:ascii="仿宋_GB2312" w:hAnsi="仿宋_GB2312" w:eastAsia="仿宋_GB2312"/>
          <w:color w:val="000000"/>
          <w:kern w:val="2"/>
          <w:sz w:val="32"/>
          <w:szCs w:val="24"/>
          <w:u w:val="none" w:color="FFFFFF"/>
          <w:shd w:val="clear" w:fill="FFFFFF"/>
          <w:lang w:val="zh-CN"/>
        </w:rPr>
        <w:t>总计各</w:t>
      </w:r>
      <w:r>
        <w:rPr>
          <w:rFonts w:hint="eastAsia" w:ascii="仿宋_GB2312" w:hAnsi="仿宋_GB2312" w:eastAsia="仿宋_GB2312"/>
          <w:color w:val="000000"/>
          <w:kern w:val="2"/>
          <w:sz w:val="32"/>
          <w:szCs w:val="24"/>
          <w:lang w:val="zh-CN"/>
        </w:rPr>
        <w:t>减少</w:t>
      </w:r>
      <w:r>
        <w:rPr>
          <w:rFonts w:hint="eastAsia" w:ascii="仿宋_GB2312" w:hAnsi="仿宋_GB2312" w:eastAsia="仿宋_GB2312"/>
          <w:color w:val="000000"/>
          <w:kern w:val="2"/>
          <w:sz w:val="32"/>
          <w:szCs w:val="24"/>
          <w:lang w:val="en-US" w:eastAsia="zh-CN"/>
        </w:rPr>
        <w:t>457.32</w:t>
      </w:r>
      <w:r>
        <w:rPr>
          <w:rFonts w:hint="eastAsia" w:ascii="仿宋_GB2312" w:hAnsi="仿宋_GB2312" w:eastAsia="仿宋_GB2312"/>
          <w:color w:val="000000"/>
          <w:kern w:val="2"/>
          <w:sz w:val="32"/>
          <w:szCs w:val="24"/>
          <w:lang w:val="zh-CN"/>
        </w:rPr>
        <w:t>万元，下降</w:t>
      </w:r>
      <w:r>
        <w:rPr>
          <w:rFonts w:hint="eastAsia" w:ascii="仿宋_GB2312" w:hAnsi="仿宋_GB2312" w:eastAsia="仿宋_GB2312"/>
          <w:color w:val="000000"/>
          <w:kern w:val="2"/>
          <w:sz w:val="32"/>
          <w:szCs w:val="24"/>
          <w:lang w:val="en-US" w:eastAsia="zh-CN"/>
        </w:rPr>
        <w:t>23.27</w:t>
      </w:r>
      <w:r>
        <w:rPr>
          <w:rFonts w:hint="eastAsia" w:ascii="仿宋_GB2312" w:hAnsi="仿宋_GB2312" w:eastAsia="仿宋_GB2312"/>
          <w:color w:val="000000"/>
          <w:kern w:val="2"/>
          <w:sz w:val="32"/>
          <w:szCs w:val="24"/>
          <w:lang w:val="zh-CN"/>
        </w:rPr>
        <w:t>%。主要变动原因</w:t>
      </w:r>
      <w:r>
        <w:rPr>
          <w:rFonts w:hint="eastAsia" w:ascii="仿宋" w:hAnsi="仿宋" w:eastAsia="仿宋"/>
          <w:color w:val="auto"/>
          <w:sz w:val="32"/>
          <w:szCs w:val="24"/>
        </w:rPr>
        <w:t>是</w:t>
      </w:r>
      <w:r>
        <w:rPr>
          <w:rFonts w:hint="eastAsia" w:ascii="仿宋" w:hAnsi="仿宋" w:eastAsia="仿宋"/>
          <w:color w:val="auto"/>
          <w:sz w:val="32"/>
          <w:szCs w:val="24"/>
          <w:lang w:val="en-US" w:eastAsia="zh-CN"/>
        </w:rPr>
        <w:t>项目较上年减少，</w:t>
      </w:r>
      <w:r>
        <w:rPr>
          <w:rFonts w:hint="eastAsia" w:ascii="仿宋_GB2312" w:hAnsi="仿宋_GB2312" w:eastAsia="仿宋_GB2312" w:cs="Times New Roman"/>
          <w:color w:val="000000"/>
          <w:kern w:val="2"/>
          <w:sz w:val="32"/>
          <w:szCs w:val="24"/>
          <w:lang w:val="zh-CN"/>
        </w:rPr>
        <w:t>脱贫攻坚和乡村振兴有效衔接资金</w:t>
      </w:r>
      <w:r>
        <w:rPr>
          <w:rFonts w:hint="eastAsia" w:ascii="仿宋_GB2312" w:hAnsi="仿宋_GB2312" w:eastAsia="仿宋_GB2312" w:cs="Times New Roman"/>
          <w:color w:val="000000"/>
          <w:kern w:val="2"/>
          <w:sz w:val="32"/>
          <w:szCs w:val="24"/>
          <w:lang w:val="zh-CN" w:eastAsia="zh-CN"/>
        </w:rPr>
        <w:t>减少</w:t>
      </w:r>
      <w:r>
        <w:rPr>
          <w:rFonts w:hint="eastAsia" w:ascii="仿宋_GB2312" w:hAnsi="仿宋_GB2312" w:eastAsia="仿宋_GB2312" w:cs="Times New Roman"/>
          <w:color w:val="000000"/>
          <w:kern w:val="2"/>
          <w:sz w:val="32"/>
          <w:szCs w:val="24"/>
          <w:lang w:val="zh-CN"/>
        </w:rPr>
        <w:t>。</w:t>
      </w:r>
    </w:p>
    <w:p>
      <w:pPr>
        <w:pStyle w:val="7"/>
        <w:spacing w:beforeLines="0"/>
        <w:jc w:val="center"/>
        <w:rPr>
          <w:rFonts w:hint="eastAsia"/>
          <w:sz w:val="30"/>
          <w:szCs w:val="24"/>
          <w:lang w:val="zh-CN"/>
        </w:rPr>
      </w:pPr>
      <w:r>
        <w:rPr>
          <w:rFonts w:hint="default"/>
          <w:sz w:val="30"/>
          <w:szCs w:val="24"/>
        </w:rPr>
        <w:drawing>
          <wp:inline distT="0" distB="0" distL="114300" distR="114300">
            <wp:extent cx="4895850" cy="3086100"/>
            <wp:effectExtent l="0" t="0" r="11430" b="762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5"/>
                    <a:stretch>
                      <a:fillRect/>
                    </a:stretch>
                  </pic:blipFill>
                  <pic:spPr>
                    <a:xfrm>
                      <a:off x="0" y="0"/>
                      <a:ext cx="4895850" cy="3086100"/>
                    </a:xfrm>
                    <a:prstGeom prst="rect">
                      <a:avLst/>
                    </a:prstGeom>
                    <a:noFill/>
                    <a:ln>
                      <a:noFill/>
                    </a:ln>
                  </pic:spPr>
                </pic:pic>
              </a:graphicData>
            </a:graphic>
          </wp:inline>
        </w:drawing>
      </w:r>
    </w:p>
    <w:p>
      <w:pPr>
        <w:spacing w:line="600" w:lineRule="exact"/>
        <w:ind w:firstLine="640"/>
        <w:jc w:val="center"/>
        <w:rPr>
          <w:rFonts w:hint="eastAsia" w:ascii="仿宋" w:hAnsi="仿宋" w:eastAsia="仿宋"/>
          <w:color w:val="auto"/>
          <w:kern w:val="2"/>
          <w:sz w:val="32"/>
          <w:szCs w:val="24"/>
          <w:lang w:val="en-US"/>
        </w:rPr>
      </w:pPr>
      <w:r>
        <w:rPr>
          <w:rFonts w:hint="eastAsia" w:ascii="仿宋" w:hAnsi="仿宋" w:eastAsia="仿宋"/>
          <w:color w:val="auto"/>
          <w:kern w:val="2"/>
          <w:sz w:val="32"/>
          <w:szCs w:val="24"/>
          <w:u w:val="none" w:color="FFFFFF"/>
          <w:shd w:val="clear" w:fill="FFFFFF"/>
          <w:lang w:val="en-US"/>
        </w:rPr>
        <w:t>（图1：收、支决算总计变动情况图）</w:t>
      </w:r>
    </w:p>
    <w:p>
      <w:pPr>
        <w:spacing w:line="560" w:lineRule="exact"/>
        <w:ind w:firstLine="640" w:firstLineChars="200"/>
        <w:outlineLvl w:val="1"/>
        <w:rPr>
          <w:rFonts w:hint="eastAsia" w:ascii="黑体" w:hAnsi="黑体" w:eastAsia="黑体" w:cs="黑体"/>
          <w:sz w:val="32"/>
          <w:szCs w:val="24"/>
          <w:lang w:val="zh-CN"/>
        </w:rPr>
      </w:pPr>
      <w:bookmarkStart w:id="37" w:name="_Toc4279"/>
      <w:bookmarkStart w:id="38" w:name="_Toc18536"/>
      <w:bookmarkStart w:id="39" w:name="_Toc22577"/>
      <w:bookmarkStart w:id="40" w:name="_Toc27746"/>
      <w:r>
        <w:rPr>
          <w:rFonts w:hint="eastAsia" w:ascii="黑体" w:hAnsi="黑体" w:eastAsia="黑体" w:cs="黑体"/>
          <w:sz w:val="32"/>
          <w:szCs w:val="24"/>
          <w:lang w:val="zh-CN"/>
        </w:rPr>
        <w:t>二、收入决算情况说明</w:t>
      </w:r>
      <w:bookmarkEnd w:id="37"/>
      <w:bookmarkEnd w:id="38"/>
      <w:bookmarkEnd w:id="39"/>
      <w:bookmarkEnd w:id="40"/>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w:t>
      </w:r>
      <w:r>
        <w:rPr>
          <w:rFonts w:hint="eastAsia" w:ascii="仿宋_GB2312" w:hAnsi="仿宋_GB2312" w:eastAsia="仿宋_GB2312"/>
          <w:color w:val="000000"/>
          <w:kern w:val="2"/>
          <w:sz w:val="32"/>
          <w:szCs w:val="24"/>
          <w:u w:val="thick" w:color="98967F"/>
          <w:shd w:val="clear" w:fill="98967F"/>
          <w:lang w:val="zh-CN"/>
        </w:rPr>
        <w:t>1,</w:t>
      </w:r>
      <w:r>
        <w:rPr>
          <w:rFonts w:hint="eastAsia" w:ascii="仿宋_GB2312" w:hAnsi="仿宋_GB2312" w:eastAsia="仿宋_GB2312"/>
          <w:color w:val="000000"/>
          <w:kern w:val="2"/>
          <w:sz w:val="32"/>
          <w:szCs w:val="24"/>
          <w:u w:val="thick" w:color="98967F"/>
          <w:shd w:val="clear" w:fill="98967F"/>
          <w:lang w:val="zh-CN"/>
        </w:rPr>
        <w:t>508.04万元</w:t>
      </w:r>
      <w:r>
        <w:rPr>
          <w:rFonts w:hint="eastAsia" w:ascii="仿宋_GB2312" w:hAnsi="仿宋_GB2312" w:eastAsia="仿宋_GB2312"/>
          <w:color w:val="000000"/>
          <w:kern w:val="2"/>
          <w:sz w:val="32"/>
          <w:szCs w:val="24"/>
          <w:u w:val="thick" w:color="98967F"/>
          <w:shd w:val="clear" w:fill="98967F"/>
          <w:lang w:val="zh-CN"/>
        </w:rPr>
        <w:t>，</w:t>
      </w:r>
      <w:r>
        <w:rPr>
          <w:rFonts w:hint="eastAsia" w:ascii="仿宋_GB2312" w:hAnsi="仿宋_GB2312" w:eastAsia="仿宋_GB2312"/>
          <w:color w:val="000000"/>
          <w:kern w:val="2"/>
          <w:sz w:val="32"/>
          <w:szCs w:val="24"/>
          <w:lang w:val="zh-CN"/>
        </w:rPr>
        <w:t>其中：一般公共预算财政拨款收入</w:t>
      </w:r>
      <w:r>
        <w:rPr>
          <w:rFonts w:hint="eastAsia" w:ascii="仿宋_GB2312" w:hAnsi="仿宋_GB2312" w:eastAsia="仿宋_GB2312"/>
          <w:color w:val="000000"/>
          <w:kern w:val="2"/>
          <w:sz w:val="32"/>
          <w:szCs w:val="24"/>
          <w:u w:val="thick" w:color="98967F"/>
          <w:shd w:val="clear" w:fill="98967F"/>
          <w:lang w:val="zh-CN"/>
        </w:rPr>
        <w:t>1,</w:t>
      </w:r>
      <w:r>
        <w:rPr>
          <w:rFonts w:hint="eastAsia" w:ascii="仿宋_GB2312" w:hAnsi="仿宋_GB2312" w:eastAsia="仿宋_GB2312"/>
          <w:color w:val="000000"/>
          <w:kern w:val="2"/>
          <w:sz w:val="32"/>
          <w:szCs w:val="24"/>
          <w:u w:val="thick" w:color="98967F"/>
          <w:shd w:val="clear" w:fill="98967F"/>
          <w:lang w:val="zh-CN"/>
        </w:rPr>
        <w:t>508.04万元</w:t>
      </w:r>
      <w:r>
        <w:rPr>
          <w:rFonts w:hint="eastAsia" w:ascii="仿宋_GB2312" w:hAnsi="仿宋_GB2312" w:eastAsia="仿宋_GB2312"/>
          <w:color w:val="000000"/>
          <w:kern w:val="2"/>
          <w:sz w:val="32"/>
          <w:szCs w:val="24"/>
          <w:u w:val="thick" w:color="98967F"/>
          <w:shd w:val="clear" w:fill="98967F"/>
          <w:lang w:val="zh-CN"/>
        </w:rPr>
        <w:t>，</w:t>
      </w:r>
      <w:r>
        <w:rPr>
          <w:rFonts w:hint="eastAsia" w:ascii="仿宋_GB2312" w:hAnsi="仿宋_GB2312" w:eastAsia="仿宋_GB2312"/>
          <w:color w:val="000000"/>
          <w:kern w:val="2"/>
          <w:sz w:val="32"/>
          <w:szCs w:val="24"/>
          <w:lang w:val="zh-CN"/>
        </w:rPr>
        <w:t>占100%；政府性基金预算财政拨款收入0万元，占0%；国有资本经营预算财政拨款收入0万元，占0%；上级补助收入0万元，占0%；事业收入0万元，占0%；经营收入0万元，占0%；附属单位上缴收入0万元，占0%；其他收入0万元，占0%。</w:t>
      </w:r>
    </w:p>
    <w:p>
      <w:pPr>
        <w:pStyle w:val="7"/>
        <w:jc w:val="center"/>
        <w:rPr>
          <w:rFonts w:hint="eastAsia"/>
          <w:sz w:val="30"/>
          <w:szCs w:val="24"/>
          <w:lang w:val="en-US"/>
        </w:rPr>
      </w:pPr>
      <w:r>
        <w:rPr>
          <w:rFonts w:hint="default"/>
          <w:sz w:val="30"/>
          <w:szCs w:val="24"/>
        </w:rPr>
        <w:drawing>
          <wp:inline distT="0" distB="0" distL="114300" distR="114300">
            <wp:extent cx="4135120" cy="2513330"/>
            <wp:effectExtent l="0" t="0" r="10160" b="1270"/>
            <wp:docPr id="2" name="图表 9"/>
            <wp:cNvGraphicFramePr/>
            <a:graphic xmlns:a="http://schemas.openxmlformats.org/drawingml/2006/main">
              <a:graphicData uri="http://schemas.openxmlformats.org/drawingml/2006/picture">
                <pic:pic xmlns:pic="http://schemas.openxmlformats.org/drawingml/2006/picture">
                  <pic:nvPicPr>
                    <pic:cNvPr id="2" name="图表 9"/>
                    <pic:cNvPicPr/>
                  </pic:nvPicPr>
                  <pic:blipFill>
                    <a:blip r:embed="rId6"/>
                    <a:stretch>
                      <a:fillRect/>
                    </a:stretch>
                  </pic:blipFill>
                  <pic:spPr>
                    <a:xfrm>
                      <a:off x="0" y="0"/>
                      <a:ext cx="4135120" cy="2513330"/>
                    </a:xfrm>
                    <a:prstGeom prst="rect">
                      <a:avLst/>
                    </a:prstGeom>
                    <a:noFill/>
                    <a:ln>
                      <a:noFill/>
                    </a:ln>
                  </pic:spPr>
                </pic:pic>
              </a:graphicData>
            </a:graphic>
          </wp:inline>
        </w:drawing>
      </w:r>
    </w:p>
    <w:p>
      <w:pPr>
        <w:spacing w:line="600" w:lineRule="exact"/>
        <w:ind w:firstLine="640"/>
        <w:jc w:val="center"/>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（图2：收入决算结构图）</w:t>
      </w:r>
    </w:p>
    <w:p>
      <w:pPr>
        <w:spacing w:line="560" w:lineRule="exact"/>
        <w:ind w:firstLine="640" w:firstLineChars="200"/>
        <w:outlineLvl w:val="1"/>
        <w:rPr>
          <w:rFonts w:hint="eastAsia" w:ascii="黑体" w:hAnsi="黑体" w:eastAsia="黑体" w:cs="黑体"/>
          <w:sz w:val="32"/>
          <w:szCs w:val="24"/>
          <w:lang w:val="zh-CN"/>
        </w:rPr>
      </w:pPr>
      <w:bookmarkStart w:id="41" w:name="_Toc29488"/>
      <w:bookmarkStart w:id="42" w:name="_Toc3138"/>
      <w:bookmarkStart w:id="43" w:name="_Toc16615"/>
      <w:bookmarkStart w:id="44" w:name="_Toc12985"/>
      <w:r>
        <w:rPr>
          <w:rFonts w:hint="eastAsia" w:ascii="黑体" w:hAnsi="黑体" w:eastAsia="黑体" w:cs="黑体"/>
          <w:sz w:val="32"/>
          <w:szCs w:val="24"/>
          <w:lang w:val="zh-CN"/>
        </w:rPr>
        <w:t>三、支出决算情况说明</w:t>
      </w:r>
      <w:bookmarkEnd w:id="41"/>
      <w:bookmarkEnd w:id="42"/>
      <w:bookmarkEnd w:id="43"/>
      <w:bookmarkEnd w:id="44"/>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2022年本年支出合计1,508.04万元，其中：基本支出1,018.19万元，占67.5%；项目支出489.85万元，占32.5%；上缴上级支出0万元，占0%；经营支出0万元，占0%；对附属单位补助支出0万元，占0%。</w:t>
      </w:r>
    </w:p>
    <w:p>
      <w:pPr>
        <w:pStyle w:val="7"/>
        <w:jc w:val="center"/>
        <w:rPr>
          <w:rFonts w:hint="eastAsia"/>
          <w:sz w:val="30"/>
          <w:szCs w:val="24"/>
          <w:lang w:val="en-US"/>
        </w:rPr>
      </w:pPr>
      <w:r>
        <w:rPr>
          <w:rFonts w:hint="default"/>
          <w:sz w:val="30"/>
          <w:szCs w:val="24"/>
        </w:rPr>
        <w:drawing>
          <wp:inline distT="0" distB="0" distL="114300" distR="114300">
            <wp:extent cx="4591050" cy="2762250"/>
            <wp:effectExtent l="0" t="0" r="11430" b="11430"/>
            <wp:docPr id="3" name="图表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表 10"/>
                    <pic:cNvPicPr>
                      <a:picLocks noChangeAspect="1"/>
                    </pic:cNvPicPr>
                  </pic:nvPicPr>
                  <pic:blipFill>
                    <a:blip r:embed="rId7"/>
                    <a:stretch>
                      <a:fillRect/>
                    </a:stretch>
                  </pic:blipFill>
                  <pic:spPr>
                    <a:xfrm>
                      <a:off x="0" y="0"/>
                      <a:ext cx="4591050" cy="2762250"/>
                    </a:xfrm>
                    <a:prstGeom prst="rect">
                      <a:avLst/>
                    </a:prstGeom>
                    <a:noFill/>
                    <a:ln>
                      <a:noFill/>
                    </a:ln>
                  </pic:spPr>
                </pic:pic>
              </a:graphicData>
            </a:graphic>
          </wp:inline>
        </w:drawing>
      </w:r>
    </w:p>
    <w:p>
      <w:pPr>
        <w:spacing w:line="600" w:lineRule="exact"/>
        <w:ind w:firstLine="640"/>
        <w:jc w:val="center"/>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（图3：支出决算结构图）</w:t>
      </w:r>
    </w:p>
    <w:p>
      <w:pPr>
        <w:spacing w:line="560" w:lineRule="exact"/>
        <w:ind w:firstLine="640" w:firstLineChars="200"/>
        <w:outlineLvl w:val="1"/>
        <w:rPr>
          <w:rFonts w:hint="eastAsia" w:ascii="黑体" w:hAnsi="黑体" w:eastAsia="黑体" w:cs="黑体"/>
          <w:sz w:val="32"/>
          <w:szCs w:val="24"/>
          <w:lang w:val="zh-CN"/>
        </w:rPr>
      </w:pPr>
      <w:bookmarkStart w:id="45" w:name="_Toc13917"/>
      <w:bookmarkStart w:id="46" w:name="_Toc19372"/>
      <w:bookmarkStart w:id="47" w:name="_Toc15678"/>
      <w:bookmarkStart w:id="48" w:name="_Toc25695"/>
      <w:r>
        <w:rPr>
          <w:rFonts w:hint="eastAsia" w:ascii="黑体" w:hAnsi="黑体" w:eastAsia="黑体" w:cs="黑体"/>
          <w:sz w:val="32"/>
          <w:szCs w:val="24"/>
          <w:lang w:val="zh-CN"/>
        </w:rPr>
        <w:t>四、财政拨款收入支出决算总体情况说明</w:t>
      </w:r>
      <w:bookmarkEnd w:id="45"/>
      <w:bookmarkEnd w:id="46"/>
      <w:bookmarkEnd w:id="47"/>
      <w:bookmarkEnd w:id="48"/>
    </w:p>
    <w:p>
      <w:pPr>
        <w:keepNext/>
        <w:keepLines/>
        <w:spacing w:line="576" w:lineRule="exact"/>
        <w:ind w:firstLine="640"/>
        <w:jc w:val="both"/>
        <w:rPr>
          <w:rFonts w:hint="eastAsia" w:ascii="仿宋_GB2312" w:hAnsi="仿宋_GB2312" w:eastAsia="仿宋_GB2312" w:cs="Times New Roman"/>
          <w:color w:val="000000"/>
          <w:kern w:val="2"/>
          <w:sz w:val="32"/>
          <w:szCs w:val="24"/>
          <w:lang w:val="zh-CN"/>
        </w:rPr>
      </w:pPr>
      <w:r>
        <w:rPr>
          <w:rFonts w:hint="eastAsia" w:ascii="仿宋_GB2312" w:hAnsi="仿宋_GB2312" w:eastAsia="仿宋_GB2312"/>
          <w:color w:val="000000"/>
          <w:kern w:val="2"/>
          <w:sz w:val="32"/>
          <w:szCs w:val="24"/>
          <w:lang w:val="zh-CN"/>
        </w:rPr>
        <w:t>2022年财政拨款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w:t>
      </w:r>
      <w:r>
        <w:rPr>
          <w:rFonts w:hint="eastAsia" w:ascii="仿宋_GB2312" w:hAnsi="仿宋_GB2312" w:eastAsia="仿宋_GB2312"/>
          <w:color w:val="000000"/>
          <w:kern w:val="2"/>
          <w:sz w:val="32"/>
          <w:szCs w:val="24"/>
          <w:lang w:val="en-US" w:eastAsia="zh-CN"/>
        </w:rPr>
        <w:t>3016.08</w:t>
      </w:r>
      <w:r>
        <w:rPr>
          <w:rFonts w:hint="eastAsia" w:ascii="仿宋_GB2312" w:hAnsi="仿宋_GB2312" w:eastAsia="仿宋_GB2312"/>
          <w:color w:val="000000"/>
          <w:kern w:val="2"/>
          <w:sz w:val="32"/>
          <w:szCs w:val="24"/>
          <w:lang w:val="zh-CN"/>
        </w:rPr>
        <w:t>万元。与2021年相比，收、支</w:t>
      </w:r>
      <w:r>
        <w:rPr>
          <w:rFonts w:hint="eastAsia" w:ascii="仿宋_GB2312" w:hAnsi="仿宋_GB2312" w:eastAsia="仿宋_GB2312"/>
          <w:color w:val="000000"/>
          <w:kern w:val="2"/>
          <w:sz w:val="32"/>
          <w:szCs w:val="24"/>
          <w:u w:val="none" w:color="FFFFFF"/>
          <w:shd w:val="clear" w:fill="FFFFFF"/>
          <w:lang w:val="zh-CN"/>
        </w:rPr>
        <w:t>总计各</w:t>
      </w:r>
      <w:r>
        <w:rPr>
          <w:rFonts w:hint="eastAsia" w:ascii="仿宋_GB2312" w:hAnsi="仿宋_GB2312" w:eastAsia="仿宋_GB2312"/>
          <w:color w:val="000000"/>
          <w:kern w:val="2"/>
          <w:sz w:val="32"/>
          <w:szCs w:val="24"/>
          <w:lang w:val="zh-CN"/>
        </w:rPr>
        <w:t>减少</w:t>
      </w:r>
      <w:r>
        <w:rPr>
          <w:rFonts w:hint="eastAsia" w:ascii="仿宋_GB2312" w:hAnsi="仿宋_GB2312" w:eastAsia="仿宋_GB2312"/>
          <w:color w:val="000000"/>
          <w:kern w:val="2"/>
          <w:sz w:val="32"/>
          <w:szCs w:val="24"/>
          <w:lang w:val="en-US" w:eastAsia="zh-CN"/>
        </w:rPr>
        <w:t>457.32</w:t>
      </w:r>
      <w:r>
        <w:rPr>
          <w:rFonts w:hint="eastAsia" w:ascii="仿宋_GB2312" w:hAnsi="仿宋_GB2312" w:eastAsia="仿宋_GB2312"/>
          <w:color w:val="000000"/>
          <w:kern w:val="2"/>
          <w:sz w:val="32"/>
          <w:szCs w:val="24"/>
          <w:lang w:val="zh-CN"/>
        </w:rPr>
        <w:t>万元，下降</w:t>
      </w:r>
      <w:r>
        <w:rPr>
          <w:rFonts w:hint="eastAsia" w:ascii="仿宋_GB2312" w:hAnsi="仿宋_GB2312" w:eastAsia="仿宋_GB2312"/>
          <w:color w:val="000000"/>
          <w:kern w:val="2"/>
          <w:sz w:val="32"/>
          <w:szCs w:val="24"/>
          <w:lang w:val="en-US" w:eastAsia="zh-CN"/>
        </w:rPr>
        <w:t>23.27</w:t>
      </w:r>
      <w:r>
        <w:rPr>
          <w:rFonts w:hint="eastAsia" w:ascii="仿宋_GB2312" w:hAnsi="仿宋_GB2312" w:eastAsia="仿宋_GB2312"/>
          <w:color w:val="000000"/>
          <w:kern w:val="2"/>
          <w:sz w:val="32"/>
          <w:szCs w:val="24"/>
          <w:lang w:val="zh-CN"/>
        </w:rPr>
        <w:t>%。主要变动原因</w:t>
      </w:r>
      <w:r>
        <w:rPr>
          <w:rFonts w:hint="eastAsia" w:ascii="仿宋" w:hAnsi="仿宋" w:eastAsia="仿宋"/>
          <w:color w:val="auto"/>
          <w:sz w:val="32"/>
          <w:szCs w:val="24"/>
        </w:rPr>
        <w:t>是</w:t>
      </w:r>
      <w:r>
        <w:rPr>
          <w:rFonts w:hint="eastAsia" w:ascii="仿宋" w:hAnsi="仿宋" w:eastAsia="仿宋"/>
          <w:color w:val="auto"/>
          <w:sz w:val="32"/>
          <w:szCs w:val="24"/>
          <w:lang w:val="en-US" w:eastAsia="zh-CN"/>
        </w:rPr>
        <w:t>项目较上年减少，</w:t>
      </w:r>
      <w:r>
        <w:rPr>
          <w:rFonts w:hint="eastAsia" w:ascii="仿宋_GB2312" w:hAnsi="仿宋_GB2312" w:eastAsia="仿宋_GB2312" w:cs="Times New Roman"/>
          <w:color w:val="000000"/>
          <w:kern w:val="2"/>
          <w:sz w:val="32"/>
          <w:szCs w:val="24"/>
          <w:lang w:val="zh-CN"/>
        </w:rPr>
        <w:t>脱贫攻坚和乡村振兴有效衔接资金</w:t>
      </w:r>
      <w:r>
        <w:rPr>
          <w:rFonts w:hint="eastAsia" w:ascii="仿宋_GB2312" w:hAnsi="仿宋_GB2312" w:eastAsia="仿宋_GB2312" w:cs="Times New Roman"/>
          <w:color w:val="000000"/>
          <w:kern w:val="2"/>
          <w:sz w:val="32"/>
          <w:szCs w:val="24"/>
          <w:lang w:val="zh-CN" w:eastAsia="zh-CN"/>
        </w:rPr>
        <w:t>减少</w:t>
      </w:r>
      <w:r>
        <w:rPr>
          <w:rFonts w:hint="eastAsia" w:ascii="仿宋_GB2312" w:hAnsi="仿宋_GB2312" w:eastAsia="仿宋_GB2312" w:cs="Times New Roman"/>
          <w:color w:val="000000"/>
          <w:kern w:val="2"/>
          <w:sz w:val="32"/>
          <w:szCs w:val="24"/>
          <w:lang w:val="zh-CN"/>
        </w:rPr>
        <w:t>。</w:t>
      </w:r>
    </w:p>
    <w:p>
      <w:pPr>
        <w:spacing w:line="576" w:lineRule="exact"/>
        <w:ind w:firstLine="640"/>
        <w:jc w:val="both"/>
        <w:rPr>
          <w:rFonts w:hint="eastAsia" w:ascii="仿宋_GB2312" w:hAnsi="仿宋_GB2312" w:eastAsia="仿宋_GB2312"/>
          <w:color w:val="000000"/>
          <w:kern w:val="2"/>
          <w:sz w:val="32"/>
          <w:szCs w:val="24"/>
          <w:lang w:val="zh-CN"/>
        </w:rPr>
      </w:pPr>
    </w:p>
    <w:p>
      <w:pPr>
        <w:pStyle w:val="7"/>
        <w:jc w:val="center"/>
        <w:rPr>
          <w:rFonts w:hint="eastAsia"/>
          <w:sz w:val="30"/>
          <w:szCs w:val="24"/>
          <w:lang w:val="en-US"/>
        </w:rPr>
      </w:pPr>
      <w:r>
        <w:rPr>
          <w:rFonts w:hint="default"/>
          <w:sz w:val="30"/>
          <w:szCs w:val="24"/>
        </w:rPr>
        <w:drawing>
          <wp:inline distT="0" distB="0" distL="114300" distR="114300">
            <wp:extent cx="4591050" cy="2762250"/>
            <wp:effectExtent l="0" t="0" r="11430" b="11430"/>
            <wp:docPr id="4" name="图表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表 11"/>
                    <pic:cNvPicPr>
                      <a:picLocks noChangeAspect="1"/>
                    </pic:cNvPicPr>
                  </pic:nvPicPr>
                  <pic:blipFill>
                    <a:blip r:embed="rId8"/>
                    <a:stretch>
                      <a:fillRect/>
                    </a:stretch>
                  </pic:blipFill>
                  <pic:spPr>
                    <a:xfrm>
                      <a:off x="0" y="0"/>
                      <a:ext cx="4591050" cy="2762250"/>
                    </a:xfrm>
                    <a:prstGeom prst="rect">
                      <a:avLst/>
                    </a:prstGeom>
                    <a:noFill/>
                    <a:ln>
                      <a:noFill/>
                    </a:ln>
                  </pic:spPr>
                </pic:pic>
              </a:graphicData>
            </a:graphic>
          </wp:inline>
        </w:drawing>
      </w:r>
    </w:p>
    <w:p>
      <w:pPr>
        <w:spacing w:line="600" w:lineRule="exact"/>
        <w:ind w:firstLine="640"/>
        <w:jc w:val="center"/>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（图4：财政拨款</w:t>
      </w:r>
      <w:r>
        <w:rPr>
          <w:rFonts w:hint="eastAsia" w:ascii="仿宋" w:hAnsi="仿宋" w:eastAsia="仿宋"/>
          <w:color w:val="auto"/>
          <w:kern w:val="2"/>
          <w:sz w:val="32"/>
          <w:szCs w:val="24"/>
          <w:u w:val="none" w:color="FFFFFF"/>
          <w:shd w:val="clear" w:fill="FFFFFF"/>
          <w:lang w:val="en-US"/>
        </w:rPr>
        <w:t>收、支</w:t>
      </w:r>
      <w:r>
        <w:rPr>
          <w:rFonts w:hint="eastAsia" w:ascii="仿宋" w:hAnsi="仿宋" w:eastAsia="仿宋"/>
          <w:color w:val="auto"/>
          <w:kern w:val="2"/>
          <w:sz w:val="32"/>
          <w:szCs w:val="24"/>
          <w:lang w:val="en-US"/>
        </w:rPr>
        <w:t>决算总计变动情况）</w:t>
      </w:r>
    </w:p>
    <w:p>
      <w:pPr>
        <w:spacing w:line="560" w:lineRule="exact"/>
        <w:ind w:firstLine="640" w:firstLineChars="200"/>
        <w:outlineLvl w:val="1"/>
        <w:rPr>
          <w:rFonts w:hint="eastAsia" w:ascii="黑体" w:hAnsi="黑体" w:eastAsia="黑体" w:cs="黑体"/>
          <w:sz w:val="32"/>
          <w:szCs w:val="24"/>
          <w:lang w:val="zh-CN"/>
        </w:rPr>
      </w:pPr>
      <w:bookmarkStart w:id="49" w:name="_Toc13355"/>
      <w:bookmarkStart w:id="50" w:name="_Toc25458"/>
      <w:bookmarkStart w:id="51" w:name="_Toc18126"/>
      <w:bookmarkStart w:id="52" w:name="_Toc13608"/>
      <w:r>
        <w:rPr>
          <w:rFonts w:hint="eastAsia" w:ascii="黑体" w:hAnsi="黑体" w:eastAsia="黑体" w:cs="黑体"/>
          <w:sz w:val="32"/>
          <w:szCs w:val="24"/>
          <w:lang w:val="zh-CN"/>
        </w:rPr>
        <w:t>五、一般公共预算财政拨款支出决算情况说明</w:t>
      </w:r>
      <w:bookmarkEnd w:id="49"/>
      <w:bookmarkEnd w:id="50"/>
      <w:bookmarkEnd w:id="51"/>
      <w:bookmarkEnd w:id="52"/>
    </w:p>
    <w:p>
      <w:pPr>
        <w:ind w:firstLine="640" w:firstLineChars="200"/>
        <w:rPr>
          <w:rFonts w:hint="eastAsia" w:ascii="Times New Roman" w:hAnsi="Times New Roman" w:eastAsia="仿宋_GB2312"/>
          <w:sz w:val="32"/>
          <w:szCs w:val="24"/>
          <w:lang w:val="zh-CN"/>
        </w:rPr>
      </w:pPr>
      <w:bookmarkStart w:id="53" w:name="_Toc28551"/>
      <w:bookmarkStart w:id="54" w:name="_Toc6492"/>
      <w:r>
        <w:rPr>
          <w:rFonts w:hint="eastAsia" w:ascii="Times New Roman" w:hAnsi="Times New Roman" w:eastAsia="仿宋_GB2312"/>
          <w:sz w:val="32"/>
          <w:szCs w:val="24"/>
          <w:lang w:val="zh-CN"/>
        </w:rPr>
        <w:t>（一）一般公共预算财政拨款支出决算总体情况。</w:t>
      </w:r>
      <w:bookmarkEnd w:id="53"/>
      <w:bookmarkEnd w:id="54"/>
    </w:p>
    <w:p>
      <w:pPr>
        <w:keepNext/>
        <w:keepLines/>
        <w:spacing w:line="576" w:lineRule="exact"/>
        <w:ind w:firstLine="640"/>
        <w:jc w:val="both"/>
        <w:rPr>
          <w:rFonts w:hint="eastAsia" w:ascii="仿宋_GB2312" w:hAnsi="仿宋_GB2312" w:eastAsia="仿宋_GB2312" w:cs="Times New Roman"/>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2022年一般公共预算财政拨款支出1,508.04万元，占本年支出合计的100%。与2021年相比，一般公共预算财政拨款支出减少</w:t>
      </w:r>
      <w:r>
        <w:rPr>
          <w:rFonts w:hint="eastAsia" w:ascii="仿宋_GB2312" w:hAnsi="仿宋_GB2312" w:eastAsia="仿宋_GB2312"/>
          <w:color w:val="000000"/>
          <w:kern w:val="2"/>
          <w:sz w:val="32"/>
          <w:szCs w:val="24"/>
          <w:lang w:val="en-US" w:eastAsia="zh-CN"/>
        </w:rPr>
        <w:t>457.32</w:t>
      </w:r>
      <w:r>
        <w:rPr>
          <w:rFonts w:hint="eastAsia" w:ascii="仿宋_GB2312" w:hAnsi="仿宋_GB2312" w:eastAsia="仿宋_GB2312"/>
          <w:color w:val="000000"/>
          <w:kern w:val="2"/>
          <w:sz w:val="32"/>
          <w:szCs w:val="24"/>
          <w:lang w:val="zh-CN"/>
        </w:rPr>
        <w:t>万元，下降</w:t>
      </w:r>
      <w:r>
        <w:rPr>
          <w:rFonts w:hint="eastAsia" w:ascii="仿宋_GB2312" w:hAnsi="仿宋_GB2312" w:eastAsia="仿宋_GB2312"/>
          <w:color w:val="000000"/>
          <w:kern w:val="2"/>
          <w:sz w:val="32"/>
          <w:szCs w:val="24"/>
          <w:lang w:val="en-US" w:eastAsia="zh-CN"/>
        </w:rPr>
        <w:t>23.27</w:t>
      </w:r>
      <w:r>
        <w:rPr>
          <w:rFonts w:hint="eastAsia" w:ascii="仿宋_GB2312" w:hAnsi="仿宋_GB2312" w:eastAsia="仿宋_GB2312"/>
          <w:color w:val="000000"/>
          <w:kern w:val="2"/>
          <w:sz w:val="32"/>
          <w:szCs w:val="24"/>
          <w:lang w:val="zh-CN"/>
        </w:rPr>
        <w:t>%。主要变动原因</w:t>
      </w:r>
      <w:r>
        <w:rPr>
          <w:rFonts w:hint="eastAsia" w:ascii="仿宋" w:hAnsi="仿宋" w:eastAsia="仿宋"/>
          <w:color w:val="auto"/>
          <w:sz w:val="32"/>
          <w:szCs w:val="24"/>
        </w:rPr>
        <w:t>是</w:t>
      </w:r>
      <w:r>
        <w:rPr>
          <w:rFonts w:hint="eastAsia" w:ascii="仿宋" w:hAnsi="仿宋" w:eastAsia="仿宋"/>
          <w:color w:val="auto"/>
          <w:sz w:val="32"/>
          <w:szCs w:val="24"/>
          <w:lang w:val="en-US" w:eastAsia="zh-CN"/>
        </w:rPr>
        <w:t>项目较上年减少，</w:t>
      </w:r>
      <w:r>
        <w:rPr>
          <w:rFonts w:hint="eastAsia" w:ascii="仿宋_GB2312" w:hAnsi="仿宋_GB2312" w:eastAsia="仿宋_GB2312" w:cs="Times New Roman"/>
          <w:color w:val="000000"/>
          <w:kern w:val="2"/>
          <w:sz w:val="32"/>
          <w:szCs w:val="24"/>
          <w:lang w:val="zh-CN"/>
        </w:rPr>
        <w:t>脱贫攻坚和乡村振兴有效衔接资金</w:t>
      </w:r>
      <w:r>
        <w:rPr>
          <w:rFonts w:hint="eastAsia" w:ascii="仿宋_GB2312" w:hAnsi="仿宋_GB2312" w:eastAsia="仿宋_GB2312" w:cs="Times New Roman"/>
          <w:color w:val="000000"/>
          <w:kern w:val="2"/>
          <w:sz w:val="32"/>
          <w:szCs w:val="24"/>
          <w:lang w:val="zh-CN" w:eastAsia="zh-CN"/>
        </w:rPr>
        <w:t>减少</w:t>
      </w:r>
      <w:r>
        <w:rPr>
          <w:rFonts w:hint="eastAsia" w:ascii="仿宋_GB2312" w:hAnsi="仿宋_GB2312" w:eastAsia="仿宋_GB2312" w:cs="Times New Roman"/>
          <w:color w:val="000000"/>
          <w:kern w:val="2"/>
          <w:sz w:val="32"/>
          <w:szCs w:val="24"/>
          <w:lang w:val="zh-CN"/>
        </w:rPr>
        <w:t>。</w:t>
      </w:r>
    </w:p>
    <w:p>
      <w:pPr>
        <w:keepNext/>
        <w:keepLines/>
        <w:spacing w:line="576" w:lineRule="exact"/>
        <w:ind w:firstLine="640"/>
        <w:jc w:val="both"/>
        <w:rPr>
          <w:rFonts w:hint="eastAsia" w:ascii="仿宋_GB2312" w:hAnsi="仿宋_GB2312" w:eastAsia="仿宋_GB2312" w:cs="Times New Roman"/>
          <w:color w:val="000000"/>
          <w:kern w:val="2"/>
          <w:sz w:val="32"/>
          <w:szCs w:val="24"/>
          <w:lang w:val="zh-CN"/>
        </w:rPr>
      </w:pPr>
    </w:p>
    <w:p>
      <w:pPr>
        <w:pStyle w:val="7"/>
        <w:jc w:val="center"/>
        <w:rPr>
          <w:rFonts w:hint="eastAsia" w:hAnsi="仿宋_GB2312"/>
          <w:color w:val="000000"/>
          <w:kern w:val="2"/>
          <w:sz w:val="32"/>
          <w:szCs w:val="24"/>
          <w:lang w:val="zh-CN"/>
        </w:rPr>
      </w:pPr>
      <w:r>
        <w:rPr>
          <w:rFonts w:hint="default"/>
          <w:sz w:val="30"/>
          <w:szCs w:val="24"/>
        </w:rPr>
        <w:drawing>
          <wp:inline distT="0" distB="0" distL="114300" distR="114300">
            <wp:extent cx="4591050" cy="2762250"/>
            <wp:effectExtent l="0" t="0" r="11430" b="11430"/>
            <wp:docPr id="5" name="图表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表 12"/>
                    <pic:cNvPicPr>
                      <a:picLocks noChangeAspect="1"/>
                    </pic:cNvPicPr>
                  </pic:nvPicPr>
                  <pic:blipFill>
                    <a:blip r:embed="rId9"/>
                    <a:stretch>
                      <a:fillRect/>
                    </a:stretch>
                  </pic:blipFill>
                  <pic:spPr>
                    <a:xfrm>
                      <a:off x="0" y="0"/>
                      <a:ext cx="4591050" cy="2762250"/>
                    </a:xfrm>
                    <a:prstGeom prst="rect">
                      <a:avLst/>
                    </a:prstGeom>
                    <a:noFill/>
                    <a:ln>
                      <a:noFill/>
                    </a:ln>
                  </pic:spPr>
                </pic:pic>
              </a:graphicData>
            </a:graphic>
          </wp:inline>
        </w:drawing>
      </w:r>
    </w:p>
    <w:p>
      <w:pPr>
        <w:spacing w:line="600" w:lineRule="exact"/>
        <w:jc w:val="center"/>
        <w:rPr>
          <w:rFonts w:hint="eastAsia" w:ascii="仿宋" w:hAnsi="仿宋" w:eastAsia="仿宋"/>
          <w:color w:val="auto"/>
          <w:kern w:val="2"/>
          <w:sz w:val="32"/>
          <w:szCs w:val="24"/>
          <w:lang w:val="en-US"/>
        </w:rPr>
      </w:pPr>
      <w:r>
        <w:rPr>
          <w:rFonts w:hint="eastAsia" w:ascii="仿宋" w:hAnsi="仿宋" w:eastAsia="仿宋"/>
          <w:color w:val="auto"/>
          <w:kern w:val="2"/>
          <w:sz w:val="32"/>
          <w:szCs w:val="24"/>
          <w:u w:val="none" w:color="FFFFFF"/>
          <w:shd w:val="clear" w:fill="FFFFFF"/>
          <w:lang w:val="en-US"/>
        </w:rPr>
        <w:t>（图5：一般公共预算财政拨款支出决算变动情况）</w:t>
      </w:r>
    </w:p>
    <w:p>
      <w:pPr>
        <w:rPr>
          <w:rFonts w:hint="eastAsia" w:ascii="Times New Roman" w:hAnsi="Times New Roman" w:eastAsia="仿宋_GB2312"/>
          <w:sz w:val="32"/>
          <w:szCs w:val="24"/>
          <w:lang w:val="zh-CN"/>
        </w:rPr>
      </w:pPr>
      <w:bookmarkStart w:id="55" w:name="_Toc16093"/>
      <w:bookmarkStart w:id="56" w:name="_Toc20349"/>
      <w:r>
        <w:rPr>
          <w:rFonts w:hint="eastAsia" w:ascii="Times New Roman" w:hAnsi="Times New Roman" w:eastAsia="仿宋_GB2312"/>
          <w:sz w:val="32"/>
          <w:szCs w:val="24"/>
          <w:lang w:val="zh-CN"/>
        </w:rPr>
        <w:t>（二）一般公共预算财政拨款支出决算结构情况。</w:t>
      </w:r>
      <w:bookmarkEnd w:id="55"/>
      <w:bookmarkEnd w:id="56"/>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2022年一般公共预算财政拨款支出1,508.04万元，主要用于以下方面</w:t>
      </w:r>
      <w:r>
        <w:rPr>
          <w:rFonts w:hint="eastAsia" w:ascii="仿宋_GB2312" w:hAnsi="仿宋_GB2312" w:eastAsia="仿宋_GB2312"/>
          <w:color w:val="000000"/>
          <w:kern w:val="2"/>
          <w:sz w:val="32"/>
          <w:szCs w:val="24"/>
          <w:u w:val="none" w:color="FFFFFF"/>
          <w:shd w:val="clear" w:fill="FFFFFF"/>
          <w:lang w:val="zh-CN"/>
        </w:rPr>
        <w:t>：</w:t>
      </w:r>
      <w:r>
        <w:rPr>
          <w:rFonts w:hint="eastAsia" w:ascii="仿宋_GB2312" w:hAnsi="仿宋_GB2312" w:eastAsia="仿宋_GB2312"/>
          <w:color w:val="000000"/>
          <w:kern w:val="2"/>
          <w:sz w:val="32"/>
          <w:szCs w:val="24"/>
          <w:lang w:val="zh-CN"/>
        </w:rPr>
        <w:t>一般公共服务支出431.73万元，占28.6%；外交支出0万元，占0%；国防支出0万元，占0%；公共安全支出0万元，占0%；教育支出0万元，占0%；科学技术支出0万元，占0%；文化体育与传媒支出0万元，占0%；社会保障和就业支出68.21万元，占4.5%；卫生健康支出41.23万元，占2.7%；节能环保支出0万元，占0%；城乡社区支出0万元，占0%；农林水支出823.75万元，占54.6%；交通运输支出0万元，占0%；资源</w:t>
      </w:r>
      <w:r>
        <w:rPr>
          <w:rFonts w:hint="eastAsia" w:ascii="仿宋_GB2312" w:hAnsi="仿宋_GB2312" w:eastAsia="仿宋_GB2312"/>
          <w:color w:val="000000"/>
          <w:kern w:val="2"/>
          <w:sz w:val="32"/>
          <w:szCs w:val="24"/>
          <w:u w:val="none" w:color="FFFFFF"/>
          <w:shd w:val="clear" w:fill="FFFFFF"/>
          <w:lang w:val="zh-CN"/>
        </w:rPr>
        <w:t>勘探和</w:t>
      </w:r>
      <w:r>
        <w:rPr>
          <w:rFonts w:hint="eastAsia" w:ascii="仿宋_GB2312" w:hAnsi="仿宋_GB2312" w:eastAsia="仿宋_GB2312"/>
          <w:color w:val="000000"/>
          <w:kern w:val="2"/>
          <w:sz w:val="32"/>
          <w:szCs w:val="24"/>
          <w:lang w:val="zh-CN"/>
        </w:rPr>
        <w:t>工业</w:t>
      </w:r>
      <w:r>
        <w:rPr>
          <w:rFonts w:hint="eastAsia" w:ascii="仿宋_GB2312" w:hAnsi="仿宋_GB2312" w:eastAsia="仿宋_GB2312"/>
          <w:color w:val="000000"/>
          <w:kern w:val="2"/>
          <w:sz w:val="32"/>
          <w:szCs w:val="24"/>
          <w:u w:val="none" w:color="FFFFFF"/>
          <w:shd w:val="clear" w:fill="FFFFFF"/>
          <w:lang w:val="zh-CN"/>
        </w:rPr>
        <w:t>信息化</w:t>
      </w:r>
      <w:r>
        <w:rPr>
          <w:rFonts w:hint="eastAsia" w:ascii="仿宋_GB2312" w:hAnsi="仿宋_GB2312" w:eastAsia="仿宋_GB2312"/>
          <w:color w:val="000000"/>
          <w:kern w:val="2"/>
          <w:sz w:val="32"/>
          <w:szCs w:val="24"/>
          <w:lang w:val="zh-CN"/>
        </w:rPr>
        <w:t>等支出0万元，占0%；商业服务业等支出0万元，占0%；金融支出0万元，占0%；援助其他地区支出0万元，占0%；</w:t>
      </w:r>
      <w:r>
        <w:rPr>
          <w:rFonts w:hint="eastAsia" w:ascii="仿宋_GB2312" w:hAnsi="仿宋_GB2312" w:eastAsia="仿宋_GB2312"/>
          <w:color w:val="000000"/>
          <w:kern w:val="2"/>
          <w:sz w:val="32"/>
          <w:szCs w:val="24"/>
          <w:u w:val="none" w:color="FFFFFF"/>
          <w:shd w:val="clear" w:fill="FFFFFF"/>
          <w:lang w:val="zh-CN"/>
        </w:rPr>
        <w:t>自然资源海洋气象等支出0万元，占0%；</w:t>
      </w:r>
      <w:r>
        <w:rPr>
          <w:rFonts w:hint="eastAsia" w:ascii="仿宋_GB2312" w:hAnsi="仿宋_GB2312" w:eastAsia="仿宋_GB2312"/>
          <w:color w:val="000000"/>
          <w:kern w:val="2"/>
          <w:sz w:val="32"/>
          <w:szCs w:val="24"/>
          <w:lang w:val="zh-CN"/>
        </w:rPr>
        <w:t>住房保障支出137.92万元，占9.1%；粮油物资储备支出0万元，占0%；国有资本经营预算支出0万元，占0%；灾害防治及应急管理支出5.2万元，占0.3%；其他支出0万元，占0%；债务还本支出0万元，占0%；债务付息支出0万元，占0%；抗疫特别国债安排的支出0万元，占0%。</w:t>
      </w:r>
    </w:p>
    <w:p>
      <w:pPr>
        <w:pStyle w:val="7"/>
        <w:jc w:val="center"/>
        <w:rPr>
          <w:rFonts w:hint="eastAsia"/>
          <w:sz w:val="30"/>
          <w:szCs w:val="24"/>
          <w:lang w:val="en-US" w:eastAsia="zh-CN"/>
        </w:rPr>
      </w:pPr>
      <w:r>
        <w:rPr>
          <w:rFonts w:hint="default"/>
          <w:sz w:val="30"/>
          <w:szCs w:val="24"/>
        </w:rPr>
        <w:drawing>
          <wp:inline distT="0" distB="0" distL="114300" distR="114300">
            <wp:extent cx="4591050" cy="2762250"/>
            <wp:effectExtent l="0" t="0" r="11430" b="11430"/>
            <wp:docPr id="6" name="图表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表 13"/>
                    <pic:cNvPicPr>
                      <a:picLocks noChangeAspect="1"/>
                    </pic:cNvPicPr>
                  </pic:nvPicPr>
                  <pic:blipFill>
                    <a:blip r:embed="rId10"/>
                    <a:stretch>
                      <a:fillRect/>
                    </a:stretch>
                  </pic:blipFill>
                  <pic:spPr>
                    <a:xfrm>
                      <a:off x="0" y="0"/>
                      <a:ext cx="4591050" cy="2762250"/>
                    </a:xfrm>
                    <a:prstGeom prst="rect">
                      <a:avLst/>
                    </a:prstGeom>
                    <a:noFill/>
                    <a:ln>
                      <a:noFill/>
                    </a:ln>
                  </pic:spPr>
                </pic:pic>
              </a:graphicData>
            </a:graphic>
          </wp:inline>
        </w:drawing>
      </w:r>
    </w:p>
    <w:p>
      <w:pPr>
        <w:spacing w:line="600" w:lineRule="exact"/>
        <w:ind w:firstLine="640"/>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（图6：一般公共预算财政拨款支出决算结构）</w:t>
      </w:r>
      <w:bookmarkStart w:id="57" w:name="_Toc27850"/>
      <w:bookmarkStart w:id="58" w:name="_Toc28974"/>
    </w:p>
    <w:p>
      <w:pPr>
        <w:spacing w:line="600" w:lineRule="exact"/>
        <w:ind w:firstLine="640"/>
        <w:jc w:val="both"/>
        <w:rPr>
          <w:rFonts w:hint="eastAsia" w:ascii="仿宋" w:hAnsi="仿宋" w:eastAsia="仿宋"/>
          <w:color w:val="auto"/>
          <w:kern w:val="2"/>
          <w:sz w:val="32"/>
          <w:szCs w:val="24"/>
          <w:lang w:val="en-US"/>
        </w:rPr>
      </w:pPr>
    </w:p>
    <w:p>
      <w:pPr>
        <w:ind w:firstLine="640" w:firstLineChars="200"/>
        <w:rPr>
          <w:rFonts w:hint="eastAsia" w:ascii="Times New Roman" w:hAnsi="Times New Roman" w:eastAsia="仿宋_GB2312"/>
          <w:sz w:val="32"/>
          <w:szCs w:val="24"/>
          <w:lang w:val="zh-CN"/>
        </w:rPr>
      </w:pPr>
      <w:r>
        <w:rPr>
          <w:rFonts w:hint="eastAsia" w:ascii="Times New Roman" w:hAnsi="Times New Roman" w:eastAsia="仿宋_GB2312"/>
          <w:sz w:val="32"/>
          <w:szCs w:val="24"/>
          <w:lang w:val="zh-CN"/>
        </w:rPr>
        <w:t>（三）一般公共预算财政拨款支出决算具体情况。</w:t>
      </w:r>
      <w:bookmarkEnd w:id="57"/>
      <w:bookmarkEnd w:id="58"/>
    </w:p>
    <w:p>
      <w:pPr>
        <w:spacing w:line="600" w:lineRule="exact"/>
        <w:ind w:firstLine="640"/>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2022年一般公共预算支出决算数为1,508.04万元</w:t>
      </w:r>
      <w:r>
        <w:rPr>
          <w:rFonts w:hint="eastAsia" w:ascii="仿宋_GB2312" w:hAnsi="仿宋_GB2312" w:eastAsia="仿宋_GB2312"/>
          <w:color w:val="000000"/>
          <w:kern w:val="2"/>
          <w:sz w:val="32"/>
          <w:szCs w:val="24"/>
          <w:lang w:val="zh-CN"/>
        </w:rPr>
        <w:t>，</w:t>
      </w:r>
      <w:r>
        <w:rPr>
          <w:rFonts w:hint="eastAsia" w:ascii="仿宋_GB2312" w:hAnsi="仿宋_GB2312" w:eastAsia="仿宋_GB2312"/>
          <w:b/>
          <w:color w:val="000000"/>
          <w:kern w:val="2"/>
          <w:sz w:val="32"/>
          <w:szCs w:val="24"/>
          <w:lang w:val="zh-CN"/>
        </w:rPr>
        <w:t>完成预算100%。其中</w:t>
      </w:r>
      <w:r>
        <w:rPr>
          <w:rFonts w:hint="eastAsia" w:ascii="仿宋_GB2312" w:hAnsi="仿宋_GB2312" w:eastAsia="仿宋_GB2312"/>
          <w:b/>
          <w:color w:val="000000"/>
          <w:kern w:val="2"/>
          <w:sz w:val="32"/>
          <w:szCs w:val="24"/>
          <w:u w:val="none" w:color="FFFFFF"/>
          <w:shd w:val="clear" w:fill="FFFFFF"/>
          <w:lang w:val="zh-CN"/>
        </w:rPr>
        <w:t>：</w:t>
      </w:r>
    </w:p>
    <w:p>
      <w:pPr>
        <w:numPr>
          <w:ilvl w:val="0"/>
          <w:numId w:val="0"/>
        </w:numPr>
        <w:spacing w:line="600" w:lineRule="exact"/>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w:t>
      </w:r>
      <w:r>
        <w:rPr>
          <w:rFonts w:hint="eastAsia" w:ascii="仿宋_GB2312" w:hAnsi="仿宋_GB2312" w:eastAsia="仿宋_GB2312"/>
          <w:b/>
          <w:color w:val="000000"/>
          <w:kern w:val="2"/>
          <w:sz w:val="32"/>
          <w:szCs w:val="24"/>
          <w:lang w:val="en-US"/>
        </w:rPr>
        <w:t>一般公共服务支出（类</w:t>
      </w:r>
      <w:r>
        <w:rPr>
          <w:rFonts w:hint="eastAsia" w:ascii="仿宋_GB2312" w:hAnsi="仿宋_GB2312" w:eastAsia="仿宋_GB2312"/>
          <w:b/>
          <w:color w:val="000000"/>
          <w:kern w:val="2"/>
          <w:sz w:val="32"/>
          <w:szCs w:val="24"/>
          <w:lang w:val="en-US" w:eastAsia="zh-CN"/>
        </w:rPr>
        <w:t>）人大事务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一般行政管理事务</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0.48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pStyle w:val="2"/>
        <w:numPr>
          <w:ilvl w:val="0"/>
          <w:numId w:val="0"/>
        </w:numPr>
        <w:rPr>
          <w:rFonts w:hint="eastAsia"/>
          <w:sz w:val="24"/>
          <w:szCs w:val="24"/>
          <w:lang w:val="en-US"/>
        </w:rPr>
      </w:pPr>
    </w:p>
    <w:p>
      <w:pPr>
        <w:keepNext/>
        <w:keepLines/>
        <w:spacing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2</w:t>
      </w:r>
      <w:r>
        <w:rPr>
          <w:rFonts w:hint="eastAsia" w:ascii="仿宋_GB2312" w:hAnsi="仿宋_GB2312" w:eastAsia="仿宋_GB2312"/>
          <w:b/>
          <w:color w:val="000000"/>
          <w:kern w:val="2"/>
          <w:sz w:val="32"/>
          <w:szCs w:val="24"/>
          <w:lang w:val="en-US"/>
        </w:rPr>
        <w:t>.一般公共服务支出（类）政府办公厅（室）及相关机构事务（款）</w:t>
      </w:r>
      <w:r>
        <w:rPr>
          <w:rFonts w:hint="eastAsia" w:ascii="仿宋_GB2312" w:hAnsi="仿宋_GB2312" w:eastAsia="仿宋_GB2312"/>
          <w:b/>
          <w:color w:val="000000"/>
          <w:kern w:val="2"/>
          <w:sz w:val="32"/>
          <w:szCs w:val="24"/>
          <w:lang w:val="en-US" w:eastAsia="zh-CN"/>
        </w:rPr>
        <w:t>行政运行</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331.64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3</w:t>
      </w:r>
      <w:r>
        <w:rPr>
          <w:rFonts w:hint="eastAsia" w:ascii="仿宋_GB2312" w:hAnsi="仿宋_GB2312" w:eastAsia="仿宋_GB2312"/>
          <w:b/>
          <w:color w:val="000000"/>
          <w:kern w:val="2"/>
          <w:sz w:val="32"/>
          <w:szCs w:val="24"/>
          <w:lang w:val="en-US"/>
        </w:rPr>
        <w:t>.一般公共服务支出（类）政府办公厅（室）及相关机构事务（款）一般行政管理事务（项）: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4</w:t>
      </w:r>
      <w:r>
        <w:rPr>
          <w:rFonts w:hint="eastAsia" w:ascii="仿宋_GB2312" w:hAnsi="仿宋_GB2312" w:eastAsia="仿宋_GB2312"/>
          <w:b/>
          <w:color w:val="000000"/>
          <w:kern w:val="2"/>
          <w:sz w:val="32"/>
          <w:szCs w:val="24"/>
          <w:lang w:val="en-US"/>
        </w:rPr>
        <w:t>.一般公共服务支出（类）政府办公厅（室）及相关机构事务（款）信访事务（项）: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5</w:t>
      </w:r>
      <w:r>
        <w:rPr>
          <w:rFonts w:hint="eastAsia" w:ascii="仿宋_GB2312" w:hAnsi="仿宋_GB2312" w:eastAsia="仿宋_GB2312"/>
          <w:b/>
          <w:color w:val="000000"/>
          <w:kern w:val="2"/>
          <w:sz w:val="32"/>
          <w:szCs w:val="24"/>
          <w:lang w:val="en-US"/>
        </w:rPr>
        <w:t>.一般公共服务支出（类）政府办公厅（室）及相关机构事务（款）事业运行（项）: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78.91</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6</w:t>
      </w:r>
      <w:r>
        <w:rPr>
          <w:rFonts w:hint="eastAsia" w:ascii="仿宋_GB2312" w:hAnsi="仿宋_GB2312" w:eastAsia="仿宋_GB2312"/>
          <w:b/>
          <w:color w:val="000000"/>
          <w:kern w:val="2"/>
          <w:sz w:val="32"/>
          <w:szCs w:val="24"/>
          <w:lang w:val="en-US"/>
        </w:rPr>
        <w:t>.一般公共服务支出（类）纪检监察事务（款）其他纪检监察事务支出（项）: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6.7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7</w:t>
      </w:r>
      <w:r>
        <w:rPr>
          <w:rFonts w:hint="eastAsia" w:ascii="仿宋_GB2312" w:hAnsi="仿宋_GB2312" w:eastAsia="仿宋_GB2312"/>
          <w:b/>
          <w:color w:val="000000"/>
          <w:kern w:val="2"/>
          <w:sz w:val="32"/>
          <w:szCs w:val="24"/>
          <w:lang w:val="en-US"/>
        </w:rPr>
        <w:t>.社会保障和就业支出（类）行政事业单位养老支出（款</w:t>
      </w:r>
      <w:r>
        <w:rPr>
          <w:rFonts w:hint="eastAsia" w:ascii="仿宋_GB2312" w:hAnsi="仿宋_GB2312" w:eastAsia="仿宋_GB2312"/>
          <w:b/>
          <w:color w:val="000000"/>
          <w:kern w:val="2"/>
          <w:sz w:val="32"/>
          <w:szCs w:val="24"/>
          <w:lang w:val="en-US" w:eastAsia="zh-CN"/>
        </w:rPr>
        <w:t>）</w:t>
      </w:r>
      <w:r>
        <w:rPr>
          <w:rFonts w:hint="eastAsia" w:ascii="仿宋_GB2312" w:hAnsi="仿宋_GB2312" w:eastAsia="仿宋_GB2312"/>
          <w:b/>
          <w:color w:val="000000"/>
          <w:kern w:val="2"/>
          <w:sz w:val="32"/>
          <w:szCs w:val="24"/>
          <w:lang w:val="en-US"/>
        </w:rPr>
        <w:t>机关事业单位基本养老保险缴费支出（项）: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42.56</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line="576" w:lineRule="exact"/>
        <w:ind w:firstLine="643"/>
        <w:jc w:val="both"/>
        <w:rPr>
          <w:rFonts w:hint="eastAsia" w:ascii="仿宋" w:hAnsi="仿宋" w:eastAsia="仿宋" w:cs="Times New Roman"/>
          <w:color w:val="auto"/>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8.社会保障和就业支出（类）行政事业单位养老支出（款）机关事业单位职业年金缴费支出（项）:</w:t>
      </w:r>
      <w:r>
        <w:rPr>
          <w:rFonts w:hint="eastAsia" w:ascii="仿宋" w:hAnsi="仿宋" w:eastAsia="仿宋" w:cs="Times New Roman"/>
          <w:color w:val="auto"/>
          <w:kern w:val="2"/>
          <w:sz w:val="32"/>
          <w:szCs w:val="24"/>
          <w:lang w:val="en-US" w:eastAsia="zh-CN"/>
        </w:rPr>
        <w:t>支出决算为25.66万元，完成预算100%，决算数等于预算数。</w:t>
      </w:r>
    </w:p>
    <w:p>
      <w:pPr>
        <w:keepNext/>
        <w:keepLines/>
        <w:spacing w:line="576" w:lineRule="exact"/>
        <w:ind w:firstLine="643"/>
        <w:jc w:val="both"/>
        <w:rPr>
          <w:rFonts w:hint="eastAsia" w:ascii="仿宋" w:hAnsi="仿宋" w:eastAsia="仿宋" w:cs="Times New Roman"/>
          <w:color w:val="auto"/>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9</w:t>
      </w:r>
      <w:r>
        <w:rPr>
          <w:rFonts w:hint="eastAsia" w:ascii="仿宋_GB2312" w:hAnsi="仿宋_GB2312" w:eastAsia="仿宋_GB2312" w:cs="Times New Roman"/>
          <w:b/>
          <w:color w:val="000000"/>
          <w:kern w:val="2"/>
          <w:sz w:val="32"/>
          <w:szCs w:val="24"/>
          <w:lang w:val="en-US"/>
        </w:rPr>
        <w:t>.卫生健康支出（类）公共卫生（款）突发公共卫生事件应急处理（项）:</w:t>
      </w:r>
      <w:r>
        <w:rPr>
          <w:rFonts w:hint="eastAsia" w:ascii="仿宋" w:hAnsi="仿宋" w:eastAsia="仿宋" w:cs="Times New Roman"/>
          <w:color w:val="auto"/>
          <w:kern w:val="2"/>
          <w:sz w:val="32"/>
          <w:szCs w:val="24"/>
          <w:lang w:val="en-US"/>
        </w:rPr>
        <w:t>支出决算为</w:t>
      </w:r>
      <w:r>
        <w:rPr>
          <w:rFonts w:hint="eastAsia" w:ascii="仿宋" w:hAnsi="仿宋" w:eastAsia="仿宋" w:cs="Times New Roman"/>
          <w:color w:val="auto"/>
          <w:kern w:val="2"/>
          <w:sz w:val="32"/>
          <w:szCs w:val="24"/>
          <w:lang w:val="en-US" w:eastAsia="zh-CN"/>
        </w:rPr>
        <w:t>7.80</w:t>
      </w:r>
      <w:r>
        <w:rPr>
          <w:rFonts w:hint="eastAsia" w:ascii="仿宋" w:hAnsi="仿宋" w:eastAsia="仿宋" w:cs="Times New Roman"/>
          <w:color w:val="auto"/>
          <w:kern w:val="2"/>
          <w:sz w:val="32"/>
          <w:szCs w:val="24"/>
          <w:lang w:val="en-US"/>
        </w:rPr>
        <w:t>万元，完成预算</w:t>
      </w:r>
      <w:r>
        <w:rPr>
          <w:rFonts w:hint="eastAsia" w:ascii="仿宋" w:hAnsi="仿宋" w:eastAsia="仿宋" w:cs="Times New Roman"/>
          <w:color w:val="auto"/>
          <w:kern w:val="2"/>
          <w:sz w:val="32"/>
          <w:szCs w:val="24"/>
          <w:lang w:val="en-US" w:eastAsia="zh-CN"/>
        </w:rPr>
        <w:t>100</w:t>
      </w:r>
      <w:r>
        <w:rPr>
          <w:rFonts w:hint="eastAsia" w:ascii="仿宋" w:hAnsi="仿宋" w:eastAsia="仿宋" w:cs="Times New Roman"/>
          <w:color w:val="auto"/>
          <w:kern w:val="2"/>
          <w:sz w:val="32"/>
          <w:szCs w:val="24"/>
          <w:lang w:val="en-US"/>
        </w:rPr>
        <w:t>%，决算数等于预算数</w:t>
      </w:r>
      <w:r>
        <w:rPr>
          <w:rFonts w:hint="eastAsia" w:ascii="仿宋" w:hAnsi="仿宋" w:eastAsia="仿宋" w:cs="Times New Roman"/>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10</w:t>
      </w:r>
      <w:r>
        <w:rPr>
          <w:rFonts w:hint="eastAsia" w:ascii="仿宋_GB2312" w:hAnsi="仿宋_GB2312" w:eastAsia="仿宋_GB2312"/>
          <w:b/>
          <w:color w:val="000000"/>
          <w:kern w:val="2"/>
          <w:sz w:val="32"/>
          <w:szCs w:val="24"/>
          <w:lang w:val="en-US"/>
        </w:rPr>
        <w:t>.卫生健康支出（类）行政事业单位医疗（款）行政单位医疗（项）: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12.72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11</w:t>
      </w:r>
      <w:r>
        <w:rPr>
          <w:rFonts w:hint="eastAsia" w:ascii="仿宋_GB2312" w:hAnsi="仿宋_GB2312" w:eastAsia="仿宋_GB2312"/>
          <w:b/>
          <w:color w:val="000000"/>
          <w:kern w:val="2"/>
          <w:sz w:val="32"/>
          <w:szCs w:val="24"/>
          <w:lang w:val="en-US"/>
        </w:rPr>
        <w:t>.卫生健康支出（类）行政事业单位医疗（款）事业单位医疗（项）: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14.57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12</w:t>
      </w:r>
      <w:r>
        <w:rPr>
          <w:rFonts w:hint="eastAsia" w:ascii="仿宋_GB2312" w:hAnsi="仿宋_GB2312" w:eastAsia="仿宋_GB2312"/>
          <w:b/>
          <w:color w:val="000000"/>
          <w:kern w:val="2"/>
          <w:sz w:val="32"/>
          <w:szCs w:val="24"/>
          <w:lang w:val="en-US"/>
        </w:rPr>
        <w:t>.卫生健康支出（类）行政事业单位医疗（款）公务员医疗补助（项）: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3.88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ind w:firstLine="643" w:firstLineChars="200"/>
        <w:rPr>
          <w:rFonts w:hint="eastAsia" w:ascii="仿宋" w:hAnsi="仿宋" w:eastAsia="仿宋"/>
          <w:color w:val="auto"/>
          <w:kern w:val="2"/>
          <w:sz w:val="32"/>
          <w:szCs w:val="24"/>
          <w:lang w:val="en-US" w:eastAsia="zh-CN"/>
        </w:rPr>
      </w:pPr>
      <w:r>
        <w:rPr>
          <w:rFonts w:hint="eastAsia" w:ascii="仿宋_GB2312" w:hAnsi="仿宋_GB2312" w:eastAsia="仿宋_GB2312"/>
          <w:b/>
          <w:color w:val="000000"/>
          <w:kern w:val="2"/>
          <w:sz w:val="32"/>
          <w:szCs w:val="24"/>
          <w:lang w:val="en-US" w:eastAsia="zh-CN"/>
        </w:rPr>
        <w:t>13</w:t>
      </w:r>
      <w:r>
        <w:rPr>
          <w:rFonts w:hint="eastAsia" w:ascii="仿宋_GB2312" w:hAnsi="仿宋_GB2312" w:eastAsia="仿宋_GB2312"/>
          <w:b/>
          <w:color w:val="000000"/>
          <w:kern w:val="2"/>
          <w:sz w:val="32"/>
          <w:szCs w:val="24"/>
          <w:lang w:val="en-US"/>
        </w:rPr>
        <w:t>.卫生健康支出（类）行政事业单位医疗（款）其他行政事业单位医疗支出（项）: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2.26</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auto"/>
          <w:kern w:val="2"/>
          <w:sz w:val="32"/>
          <w:szCs w:val="24"/>
          <w:lang w:val="en-US" w:eastAsia="zh-CN"/>
        </w:rPr>
        <w:t>14</w:t>
      </w:r>
      <w:r>
        <w:rPr>
          <w:rFonts w:hint="eastAsia" w:ascii="仿宋_GB2312" w:hAnsi="仿宋_GB2312" w:eastAsia="仿宋_GB2312"/>
          <w:b/>
          <w:color w:val="auto"/>
          <w:kern w:val="2"/>
          <w:sz w:val="32"/>
          <w:szCs w:val="24"/>
          <w:lang w:val="en-US"/>
        </w:rPr>
        <w:t>.农林水支出（</w:t>
      </w:r>
      <w:r>
        <w:rPr>
          <w:rFonts w:hint="eastAsia" w:ascii="仿宋_GB2312" w:hAnsi="仿宋_GB2312" w:eastAsia="仿宋_GB2312"/>
          <w:b/>
          <w:color w:val="000000"/>
          <w:kern w:val="2"/>
          <w:sz w:val="32"/>
          <w:szCs w:val="24"/>
          <w:lang w:val="en-US"/>
        </w:rPr>
        <w:t>类）</w:t>
      </w:r>
      <w:r>
        <w:rPr>
          <w:rFonts w:hint="eastAsia" w:ascii="仿宋_GB2312" w:hAnsi="仿宋_GB2312" w:eastAsia="仿宋_GB2312"/>
          <w:b/>
          <w:color w:val="000000"/>
          <w:kern w:val="2"/>
          <w:sz w:val="32"/>
          <w:szCs w:val="24"/>
          <w:lang w:val="en-US" w:eastAsia="zh-CN"/>
        </w:rPr>
        <w:t>农业农村</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事业运行</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182.79</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15</w:t>
      </w:r>
      <w:r>
        <w:rPr>
          <w:rFonts w:hint="eastAsia" w:ascii="仿宋_GB2312" w:hAnsi="仿宋_GB2312" w:eastAsia="仿宋_GB2312"/>
          <w:b/>
          <w:color w:val="000000"/>
          <w:kern w:val="2"/>
          <w:sz w:val="32"/>
          <w:szCs w:val="24"/>
          <w:lang w:val="en-US"/>
        </w:rPr>
        <w:t>.农林水支出（类）巩固脱贫衔接乡村振兴（款）农村基础设施建设（项）: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169.20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16</w:t>
      </w:r>
      <w:r>
        <w:rPr>
          <w:rFonts w:hint="eastAsia" w:ascii="仿宋_GB2312" w:hAnsi="仿宋_GB2312" w:eastAsia="仿宋_GB2312"/>
          <w:b/>
          <w:color w:val="000000"/>
          <w:kern w:val="2"/>
          <w:sz w:val="32"/>
          <w:szCs w:val="24"/>
          <w:lang w:val="en-US"/>
        </w:rPr>
        <w:t>.农林水支出（类）巩固脱贫衔接乡村振兴（款）生产发展（项）: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101.58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17</w:t>
      </w:r>
      <w:r>
        <w:rPr>
          <w:rFonts w:hint="eastAsia" w:ascii="仿宋_GB2312" w:hAnsi="仿宋_GB2312" w:eastAsia="仿宋_GB2312"/>
          <w:b/>
          <w:color w:val="000000"/>
          <w:kern w:val="2"/>
          <w:sz w:val="32"/>
          <w:szCs w:val="24"/>
          <w:lang w:val="en-US"/>
        </w:rPr>
        <w:t>.农林水支出（类）巩固脱贫衔接乡村振兴（款）其他巩固脱贫衔接乡村振兴支出（项）: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16.50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18</w:t>
      </w:r>
      <w:r>
        <w:rPr>
          <w:rFonts w:hint="eastAsia" w:ascii="仿宋_GB2312" w:hAnsi="仿宋_GB2312" w:eastAsia="仿宋_GB2312"/>
          <w:b/>
          <w:color w:val="000000"/>
          <w:kern w:val="2"/>
          <w:sz w:val="32"/>
          <w:szCs w:val="24"/>
          <w:lang w:val="en-US"/>
        </w:rPr>
        <w:t>.农林水支出（类）农村综合改革（款）对村民委员会和村党支部的补助（项）: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353.68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19</w:t>
      </w:r>
      <w:r>
        <w:rPr>
          <w:rFonts w:hint="eastAsia" w:ascii="仿宋_GB2312" w:hAnsi="仿宋_GB2312" w:eastAsia="仿宋_GB2312"/>
          <w:b/>
          <w:color w:val="000000"/>
          <w:kern w:val="2"/>
          <w:sz w:val="32"/>
          <w:szCs w:val="24"/>
          <w:lang w:val="en-US"/>
        </w:rPr>
        <w:t>.住房保障支出（类）保障性安居工程支出（款）农村危房改造（项）: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106</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jc w:val="both"/>
        <w:rPr>
          <w:rFonts w:hint="eastAsia" w:ascii="仿宋_GB2312" w:hAnsi="仿宋_GB2312" w:eastAsia="仿宋"/>
          <w:b/>
          <w:color w:val="000000"/>
          <w:kern w:val="2"/>
          <w:sz w:val="32"/>
          <w:szCs w:val="24"/>
          <w:lang w:val="en-US" w:eastAsia="zh-CN"/>
        </w:rPr>
      </w:pPr>
      <w:r>
        <w:rPr>
          <w:rFonts w:hint="eastAsia" w:ascii="仿宋_GB2312" w:hAnsi="仿宋_GB2312" w:eastAsia="仿宋_GB2312"/>
          <w:b/>
          <w:color w:val="000000"/>
          <w:kern w:val="2"/>
          <w:sz w:val="32"/>
          <w:szCs w:val="24"/>
          <w:lang w:val="en-US" w:eastAsia="zh-CN"/>
        </w:rPr>
        <w:t>20</w:t>
      </w:r>
      <w:r>
        <w:rPr>
          <w:rFonts w:hint="eastAsia" w:ascii="仿宋_GB2312" w:hAnsi="仿宋_GB2312" w:eastAsia="仿宋_GB2312"/>
          <w:b/>
          <w:color w:val="000000"/>
          <w:kern w:val="2"/>
          <w:sz w:val="32"/>
          <w:szCs w:val="24"/>
          <w:lang w:val="en-US"/>
        </w:rPr>
        <w:t>.住房保障支出（类）住房改革支出（款）住房公积金（项）: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31.92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keepNext/>
        <w:keepLines/>
        <w:spacing w:line="576" w:lineRule="exact"/>
        <w:ind w:firstLine="643" w:firstLineChars="200"/>
        <w:jc w:val="both"/>
        <w:rPr>
          <w:rFonts w:hint="default"/>
          <w:sz w:val="24"/>
          <w:szCs w:val="24"/>
          <w:lang w:val="en-US"/>
        </w:rPr>
      </w:pPr>
      <w:r>
        <w:rPr>
          <w:rFonts w:hint="eastAsia" w:ascii="仿宋_GB2312" w:hAnsi="仿宋_GB2312" w:eastAsia="仿宋_GB2312"/>
          <w:b/>
          <w:color w:val="000000"/>
          <w:kern w:val="2"/>
          <w:sz w:val="32"/>
          <w:szCs w:val="24"/>
          <w:lang w:val="en-US" w:eastAsia="zh-CN"/>
        </w:rPr>
        <w:t>21</w:t>
      </w:r>
      <w:r>
        <w:rPr>
          <w:rFonts w:hint="eastAsia" w:ascii="仿宋_GB2312" w:hAnsi="仿宋_GB2312" w:eastAsia="仿宋_GB2312"/>
          <w:b/>
          <w:color w:val="000000"/>
          <w:kern w:val="2"/>
          <w:sz w:val="32"/>
          <w:szCs w:val="24"/>
          <w:lang w:val="en-US"/>
        </w:rPr>
        <w:t>.灾害防治及应急管理支出（类）自然灾害救灾及恢复重建支出（款）自然灾害救灾补助（项）: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5.20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r>
        <w:rPr>
          <w:rFonts w:hint="eastAsia" w:ascii="仿宋" w:hAnsi="仿宋" w:eastAsia="仿宋"/>
          <w:color w:val="auto"/>
          <w:kern w:val="2"/>
          <w:sz w:val="32"/>
          <w:szCs w:val="24"/>
          <w:lang w:val="en-US" w:eastAsia="zh-CN"/>
        </w:rPr>
        <w:t>。</w:t>
      </w:r>
    </w:p>
    <w:p>
      <w:pPr>
        <w:spacing w:line="560" w:lineRule="exact"/>
        <w:ind w:firstLine="640" w:firstLineChars="200"/>
        <w:outlineLvl w:val="1"/>
        <w:rPr>
          <w:rFonts w:hint="eastAsia" w:ascii="黑体" w:hAnsi="黑体" w:eastAsia="黑体" w:cs="黑体"/>
          <w:sz w:val="32"/>
          <w:szCs w:val="24"/>
          <w:lang w:val="zh-CN"/>
        </w:rPr>
      </w:pPr>
      <w:bookmarkStart w:id="59" w:name="_Toc12941"/>
      <w:bookmarkStart w:id="60" w:name="_Toc7380"/>
      <w:bookmarkStart w:id="61" w:name="_Toc18463"/>
      <w:bookmarkStart w:id="62" w:name="_Toc28320"/>
      <w:r>
        <w:rPr>
          <w:rFonts w:hint="eastAsia" w:ascii="黑体" w:hAnsi="黑体" w:eastAsia="黑体" w:cs="黑体"/>
          <w:sz w:val="32"/>
          <w:szCs w:val="24"/>
          <w:lang w:val="zh-CN"/>
        </w:rPr>
        <w:t>六、一般公共预算财政拨</w:t>
      </w:r>
      <w:r>
        <w:rPr>
          <w:rFonts w:hint="eastAsia" w:ascii="黑体" w:hAnsi="黑体" w:eastAsia="黑体" w:cs="黑体"/>
          <w:sz w:val="32"/>
          <w:szCs w:val="24"/>
          <w:u w:val="none" w:color="FFFFFF"/>
          <w:shd w:val="clear" w:fill="FFFFFF"/>
          <w:lang w:val="zh-CN"/>
        </w:rPr>
        <w:t>款</w:t>
      </w:r>
      <w:r>
        <w:rPr>
          <w:rFonts w:hint="eastAsia" w:ascii="黑体" w:hAnsi="黑体" w:eastAsia="黑体" w:cs="黑体"/>
          <w:sz w:val="32"/>
          <w:szCs w:val="24"/>
          <w:lang w:val="zh-CN"/>
        </w:rPr>
        <w:t>基本支出决算情况说明</w:t>
      </w:r>
      <w:bookmarkEnd w:id="59"/>
      <w:bookmarkEnd w:id="60"/>
      <w:bookmarkEnd w:id="61"/>
      <w:bookmarkEnd w:id="62"/>
      <w:r>
        <w:rPr>
          <w:rFonts w:hint="eastAsia" w:ascii="黑体" w:hAnsi="黑体" w:eastAsia="黑体" w:cs="黑体"/>
          <w:sz w:val="32"/>
          <w:szCs w:val="24"/>
          <w:lang w:val="zh-CN"/>
        </w:rPr>
        <w:tab/>
      </w:r>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2022年一般公共预算财政拨款基本支出1,018.19万元，其中：</w:t>
      </w:r>
    </w:p>
    <w:p>
      <w:pPr>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862.68万元，主要包括：</w:t>
      </w:r>
      <w:r>
        <w:rPr>
          <w:rFonts w:hint="eastAsia" w:ascii="仿宋" w:hAnsi="仿宋" w:eastAsia="仿宋"/>
          <w:color w:val="auto"/>
          <w:kern w:val="2"/>
          <w:sz w:val="32"/>
          <w:szCs w:val="24"/>
          <w:lang w:val="en-US"/>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olor w:val="000000"/>
          <w:kern w:val="2"/>
          <w:sz w:val="32"/>
          <w:szCs w:val="24"/>
          <w:lang w:val="zh-CN"/>
        </w:rPr>
        <w:t>。</w:t>
      </w:r>
    </w:p>
    <w:p>
      <w:pPr>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公用经费</w:t>
      </w:r>
      <w:r>
        <w:rPr>
          <w:rFonts w:hint="eastAsia" w:ascii="仿宋_GB2312" w:hAnsi="仿宋_GB2312" w:eastAsia="仿宋_GB2312"/>
          <w:color w:val="000000"/>
          <w:kern w:val="2"/>
          <w:sz w:val="32"/>
          <w:szCs w:val="24"/>
          <w:lang w:val="zh-CN"/>
        </w:rPr>
        <w:t>155.5万元，主要包括：</w:t>
      </w:r>
      <w:r>
        <w:rPr>
          <w:rFonts w:hint="eastAsia" w:ascii="仿宋" w:hAnsi="仿宋" w:eastAsia="仿宋"/>
          <w:color w:val="auto"/>
          <w:kern w:val="2"/>
          <w:sz w:val="32"/>
          <w:szCs w:val="24"/>
          <w:lang w:val="en-US"/>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olor w:val="000000"/>
          <w:kern w:val="2"/>
          <w:sz w:val="32"/>
          <w:szCs w:val="24"/>
          <w:lang w:val="zh-CN"/>
        </w:rPr>
        <w:t>。</w:t>
      </w:r>
    </w:p>
    <w:p>
      <w:pPr>
        <w:spacing w:line="560" w:lineRule="exact"/>
        <w:ind w:firstLine="640" w:firstLineChars="200"/>
        <w:outlineLvl w:val="1"/>
        <w:rPr>
          <w:rFonts w:hint="eastAsia" w:ascii="黑体" w:hAnsi="黑体" w:eastAsia="黑体" w:cs="黑体"/>
          <w:sz w:val="32"/>
          <w:szCs w:val="24"/>
          <w:lang w:val="zh-CN"/>
        </w:rPr>
      </w:pPr>
      <w:bookmarkStart w:id="63" w:name="_Toc20350"/>
      <w:bookmarkStart w:id="64" w:name="_Toc18495"/>
      <w:bookmarkStart w:id="65" w:name="_Toc26617"/>
      <w:bookmarkStart w:id="66" w:name="_Toc4328"/>
      <w:r>
        <w:rPr>
          <w:rFonts w:hint="eastAsia" w:ascii="黑体" w:hAnsi="黑体" w:eastAsia="黑体" w:cs="黑体"/>
          <w:sz w:val="32"/>
          <w:szCs w:val="24"/>
          <w:lang w:val="en-US" w:eastAsia="zh-CN"/>
        </w:rPr>
        <w:t>七、</w:t>
      </w:r>
      <w:r>
        <w:rPr>
          <w:rFonts w:hint="eastAsia" w:ascii="黑体" w:hAnsi="黑体" w:eastAsia="黑体" w:cs="黑体"/>
          <w:sz w:val="32"/>
          <w:szCs w:val="24"/>
          <w:lang w:val="zh-CN"/>
        </w:rPr>
        <w:t>“三公”经费财政拨款支出决算情况说明</w:t>
      </w:r>
      <w:bookmarkEnd w:id="63"/>
      <w:bookmarkEnd w:id="64"/>
      <w:bookmarkEnd w:id="65"/>
      <w:bookmarkEnd w:id="66"/>
      <w:bookmarkStart w:id="67" w:name="_Toc23120"/>
      <w:bookmarkStart w:id="68" w:name="_Toc5127"/>
    </w:p>
    <w:p>
      <w:pPr>
        <w:numPr>
          <w:ilvl w:val="0"/>
          <w:numId w:val="0"/>
        </w:numPr>
        <w:ind w:firstLine="640" w:firstLineChars="200"/>
        <w:rPr>
          <w:rStyle w:val="22"/>
          <w:rFonts w:hint="eastAsia" w:eastAsia="仿宋_GB2312"/>
          <w:sz w:val="32"/>
          <w:szCs w:val="24"/>
          <w:lang w:val="zh-CN"/>
        </w:rPr>
      </w:pPr>
      <w:bookmarkStart w:id="69" w:name="_Toc11254"/>
      <w:r>
        <w:rPr>
          <w:rStyle w:val="22"/>
          <w:rFonts w:hint="eastAsia" w:eastAsia="仿宋_GB2312"/>
          <w:sz w:val="32"/>
          <w:szCs w:val="24"/>
          <w:lang w:val="zh-CN"/>
        </w:rPr>
        <w:t>（一）“三公”经费财政拨款支出决算总体情况说明</w:t>
      </w:r>
      <w:bookmarkEnd w:id="67"/>
      <w:bookmarkEnd w:id="68"/>
      <w:bookmarkEnd w:id="69"/>
    </w:p>
    <w:p>
      <w:pPr>
        <w:keepNext/>
        <w:keepLines/>
        <w:spacing w:line="576" w:lineRule="exact"/>
        <w:ind w:firstLine="640"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2022年“三公”经费财政拨款支出决算为0.14万元，完成</w:t>
      </w:r>
      <w:r>
        <w:rPr>
          <w:rFonts w:hint="eastAsia" w:ascii="仿宋_GB2312" w:hAnsi="仿宋_GB2312" w:eastAsia="仿宋_GB2312"/>
          <w:color w:val="000000"/>
          <w:kern w:val="2"/>
          <w:sz w:val="32"/>
          <w:szCs w:val="24"/>
          <w:u w:val="none" w:color="FFFFFF"/>
          <w:shd w:val="clear" w:fill="FFFFFF"/>
          <w:lang w:val="zh-CN"/>
        </w:rPr>
        <w:t>预算</w:t>
      </w:r>
      <w:r>
        <w:rPr>
          <w:rFonts w:hint="eastAsia" w:ascii="仿宋_GB2312" w:hAnsi="仿宋_GB2312" w:eastAsia="仿宋_GB2312"/>
          <w:color w:val="000000"/>
          <w:kern w:val="2"/>
          <w:sz w:val="32"/>
          <w:szCs w:val="24"/>
          <w:lang w:val="zh-CN"/>
        </w:rPr>
        <w:t>8.4%；较上年减少</w:t>
      </w:r>
      <w:r>
        <w:rPr>
          <w:rFonts w:hint="eastAsia" w:ascii="仿宋_GB2312" w:hAnsi="仿宋_GB2312" w:eastAsia="仿宋_GB2312"/>
          <w:color w:val="000000"/>
          <w:kern w:val="2"/>
          <w:sz w:val="32"/>
          <w:szCs w:val="24"/>
          <w:lang w:val="en-US" w:eastAsia="zh-CN"/>
        </w:rPr>
        <w:t>1.34</w:t>
      </w:r>
      <w:r>
        <w:rPr>
          <w:rFonts w:hint="eastAsia" w:ascii="仿宋_GB2312" w:hAnsi="仿宋_GB2312" w:eastAsia="仿宋_GB2312"/>
          <w:color w:val="000000"/>
          <w:kern w:val="2"/>
          <w:sz w:val="32"/>
          <w:szCs w:val="24"/>
          <w:lang w:val="zh-CN"/>
        </w:rPr>
        <w:t>万元，下降</w:t>
      </w:r>
      <w:r>
        <w:rPr>
          <w:rFonts w:hint="eastAsia" w:ascii="仿宋_GB2312" w:hAnsi="仿宋_GB2312" w:eastAsia="仿宋_GB2312"/>
          <w:color w:val="000000"/>
          <w:kern w:val="2"/>
          <w:sz w:val="32"/>
          <w:szCs w:val="24"/>
          <w:lang w:val="en-US" w:eastAsia="zh-CN"/>
        </w:rPr>
        <w:t>90.5</w:t>
      </w:r>
      <w:r>
        <w:rPr>
          <w:rFonts w:hint="eastAsia" w:ascii="仿宋_GB2312" w:hAnsi="仿宋_GB2312" w:eastAsia="仿宋_GB2312"/>
          <w:color w:val="000000"/>
          <w:kern w:val="2"/>
          <w:sz w:val="32"/>
          <w:szCs w:val="24"/>
          <w:lang w:val="zh-CN"/>
        </w:rPr>
        <w:t>%。</w:t>
      </w:r>
      <w:r>
        <w:rPr>
          <w:rFonts w:hint="eastAsia" w:ascii="仿宋" w:hAnsi="仿宋" w:eastAsia="仿宋"/>
          <w:color w:val="auto"/>
          <w:sz w:val="32"/>
          <w:szCs w:val="24"/>
        </w:rPr>
        <w:t>决算数小于预算数（或与预算数持平）的主要原因是我镇落实厉行节约有关规定，进一步规范“三公”经费管理，从严控制“三公”经费开支。</w:t>
      </w:r>
    </w:p>
    <w:p>
      <w:pPr>
        <w:ind w:firstLine="640" w:firstLineChars="200"/>
        <w:rPr>
          <w:rFonts w:hint="eastAsia" w:ascii="Times New Roman" w:hAnsi="Times New Roman" w:eastAsia="仿宋_GB2312"/>
          <w:sz w:val="32"/>
          <w:szCs w:val="24"/>
          <w:lang w:val="zh-CN"/>
        </w:rPr>
      </w:pPr>
      <w:bookmarkStart w:id="70" w:name="_Toc5974"/>
      <w:bookmarkStart w:id="71" w:name="_Toc24386"/>
      <w:r>
        <w:rPr>
          <w:rFonts w:hint="eastAsia" w:ascii="Times New Roman" w:hAnsi="Times New Roman" w:eastAsia="仿宋_GB2312"/>
          <w:sz w:val="32"/>
          <w:szCs w:val="24"/>
          <w:lang w:val="zh-CN"/>
        </w:rPr>
        <w:t>（二）“三公”经费财政拨款支出决算具体情况说明</w:t>
      </w:r>
      <w:bookmarkEnd w:id="70"/>
      <w:bookmarkEnd w:id="71"/>
    </w:p>
    <w:p>
      <w:pPr>
        <w:keepNext/>
        <w:keepLines/>
        <w:spacing w:line="576" w:lineRule="exact"/>
        <w:ind w:firstLine="640" w:firstLineChars="200"/>
        <w:jc w:val="both"/>
        <w:rPr>
          <w:rFonts w:hint="eastAsia" w:ascii="仿宋_GB2312" w:hAnsi="仿宋_GB2312" w:eastAsia="仿宋_GB2312"/>
          <w:color w:val="000000"/>
          <w:kern w:val="2"/>
          <w:sz w:val="32"/>
          <w:szCs w:val="24"/>
          <w:lang w:val="zh-CN"/>
        </w:rPr>
      </w:pPr>
      <w:r>
        <w:rPr>
          <w:rFonts w:hint="eastAsia" w:ascii="仿宋" w:hAnsi="仿宋" w:eastAsia="仿宋" w:cs="仿宋"/>
          <w:color w:val="000000"/>
          <w:kern w:val="2"/>
          <w:sz w:val="32"/>
          <w:szCs w:val="24"/>
          <w:lang w:val="zh-CN"/>
        </w:rPr>
        <w:t>2022年“三公”经费财政拨款支出决算中，因公出国（境）费支出决算0万元，占0%；公务用车购置及运行维护费支出决算0万元，占0%；公务接待费支出决算0.14万元，占100%。具体情况如下</w:t>
      </w:r>
      <w:r>
        <w:rPr>
          <w:rFonts w:hint="eastAsia" w:ascii="仿宋" w:hAnsi="仿宋" w:eastAsia="仿宋" w:cs="仿宋"/>
          <w:color w:val="000000"/>
          <w:kern w:val="2"/>
          <w:sz w:val="32"/>
          <w:szCs w:val="24"/>
          <w:u w:val="none" w:color="FFFFFF"/>
          <w:shd w:val="clear" w:fill="FFFFFF"/>
          <w:lang w:val="zh-CN"/>
        </w:rPr>
        <w:t>：</w:t>
      </w:r>
    </w:p>
    <w:p>
      <w:pPr>
        <w:pStyle w:val="7"/>
        <w:jc w:val="center"/>
        <w:rPr>
          <w:rFonts w:hint="eastAsia"/>
          <w:sz w:val="30"/>
          <w:szCs w:val="24"/>
          <w:lang w:val="zh-CN"/>
        </w:rPr>
      </w:pPr>
      <w:r>
        <w:rPr>
          <w:rFonts w:hint="default"/>
          <w:sz w:val="30"/>
          <w:szCs w:val="24"/>
        </w:rPr>
        <w:drawing>
          <wp:inline distT="0" distB="0" distL="114300" distR="114300">
            <wp:extent cx="4591050" cy="2762250"/>
            <wp:effectExtent l="0" t="0" r="11430" b="11430"/>
            <wp:docPr id="7" name="图表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表 14"/>
                    <pic:cNvPicPr>
                      <a:picLocks noChangeAspect="1"/>
                    </pic:cNvPicPr>
                  </pic:nvPicPr>
                  <pic:blipFill>
                    <a:blip r:embed="rId11"/>
                    <a:stretch>
                      <a:fillRect/>
                    </a:stretch>
                  </pic:blipFill>
                  <pic:spPr>
                    <a:xfrm>
                      <a:off x="0" y="0"/>
                      <a:ext cx="4591050" cy="2762250"/>
                    </a:xfrm>
                    <a:prstGeom prst="rect">
                      <a:avLst/>
                    </a:prstGeom>
                    <a:noFill/>
                    <a:ln>
                      <a:noFill/>
                    </a:ln>
                  </pic:spPr>
                </pic:pic>
              </a:graphicData>
            </a:graphic>
          </wp:inline>
        </w:drawing>
      </w:r>
    </w:p>
    <w:p>
      <w:pPr>
        <w:spacing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（图7：“三公”经费财政拨款支出结构）（饼状图）</w:t>
      </w:r>
    </w:p>
    <w:p>
      <w:pPr>
        <w:spacing w:line="600" w:lineRule="exact"/>
        <w:ind w:firstLine="640"/>
        <w:jc w:val="both"/>
        <w:rPr>
          <w:rFonts w:hint="eastAsia" w:ascii="仿宋" w:hAnsi="仿宋" w:eastAsia="仿宋" w:cs="仿宋"/>
          <w:color w:val="auto"/>
          <w:kern w:val="2"/>
          <w:sz w:val="32"/>
          <w:szCs w:val="24"/>
          <w:lang w:val="en-US"/>
        </w:rPr>
      </w:pPr>
      <w:r>
        <w:rPr>
          <w:rFonts w:hint="eastAsia" w:ascii="仿宋_GB2312" w:hAnsi="仿宋_GB2312" w:eastAsia="仿宋_GB2312"/>
          <w:b/>
          <w:color w:val="000000"/>
          <w:kern w:val="2"/>
          <w:sz w:val="32"/>
          <w:szCs w:val="24"/>
          <w:lang w:val="zh-CN"/>
        </w:rPr>
        <w:t>1.因公出国（境）经费</w:t>
      </w:r>
      <w:r>
        <w:rPr>
          <w:rFonts w:hint="eastAsia" w:ascii="仿宋" w:hAnsi="仿宋" w:eastAsia="仿宋" w:cs="仿宋"/>
          <w:color w:val="000000"/>
          <w:kern w:val="2"/>
          <w:sz w:val="32"/>
          <w:szCs w:val="24"/>
          <w:lang w:val="zh-CN"/>
        </w:rPr>
        <w:t>支出0万元，完成预算0%。全年安排因公出国（境）团组0个，出国（境）0人。因公出国（境）支出决算与</w:t>
      </w:r>
      <w:r>
        <w:rPr>
          <w:rFonts w:hint="eastAsia" w:ascii="仿宋" w:hAnsi="仿宋" w:eastAsia="仿宋" w:cs="仿宋"/>
          <w:color w:val="000000"/>
          <w:kern w:val="2"/>
          <w:sz w:val="32"/>
          <w:szCs w:val="24"/>
          <w:u w:val="none" w:color="FFFFFF"/>
          <w:shd w:val="clear" w:fill="FFFFFF"/>
          <w:lang w:val="zh-CN"/>
        </w:rPr>
        <w:t>2021年相比</w:t>
      </w:r>
      <w:r>
        <w:rPr>
          <w:rFonts w:hint="eastAsia" w:ascii="仿宋" w:hAnsi="仿宋" w:eastAsia="仿宋" w:cs="仿宋"/>
          <w:color w:val="000000"/>
          <w:kern w:val="2"/>
          <w:sz w:val="32"/>
          <w:szCs w:val="24"/>
          <w:lang w:val="zh-CN"/>
        </w:rPr>
        <w:t>增加0万元，增长</w:t>
      </w:r>
      <w:r>
        <w:rPr>
          <w:rFonts w:hint="eastAsia" w:ascii="仿宋" w:hAnsi="仿宋" w:eastAsia="仿宋" w:cs="仿宋"/>
          <w:color w:val="000000"/>
          <w:kern w:val="2"/>
          <w:sz w:val="32"/>
          <w:szCs w:val="24"/>
          <w:lang w:val="en-US" w:eastAsia="zh-CN"/>
        </w:rPr>
        <w:t>0</w:t>
      </w:r>
      <w:r>
        <w:rPr>
          <w:rFonts w:hint="eastAsia" w:ascii="仿宋" w:hAnsi="仿宋" w:eastAsia="仿宋" w:cs="仿宋"/>
          <w:color w:val="000000"/>
          <w:kern w:val="2"/>
          <w:sz w:val="32"/>
          <w:szCs w:val="24"/>
          <w:lang w:val="zh-CN"/>
        </w:rPr>
        <w:t>%。</w:t>
      </w:r>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2.公务用车购置及运行维护费</w:t>
      </w:r>
      <w:r>
        <w:rPr>
          <w:rFonts w:hint="eastAsia" w:ascii="仿宋_GB2312" w:hAnsi="仿宋_GB2312" w:eastAsia="仿宋_GB2312"/>
          <w:color w:val="000000"/>
          <w:kern w:val="2"/>
          <w:sz w:val="32"/>
          <w:szCs w:val="24"/>
          <w:lang w:val="zh-CN"/>
        </w:rPr>
        <w:t>支出0万元，完成预算0%。公务用车购置及运行维护费支出决算比2021年增加0万元，增长</w:t>
      </w:r>
      <w:r>
        <w:rPr>
          <w:rFonts w:hint="eastAsia" w:ascii="仿宋_GB2312" w:hAnsi="仿宋_GB2312" w:eastAsia="仿宋_GB2312"/>
          <w:color w:val="000000"/>
          <w:kern w:val="2"/>
          <w:sz w:val="32"/>
          <w:szCs w:val="24"/>
          <w:lang w:val="en-US" w:eastAsia="zh-CN"/>
        </w:rPr>
        <w:t>0</w:t>
      </w:r>
      <w:r>
        <w:rPr>
          <w:rFonts w:hint="eastAsia" w:ascii="仿宋_GB2312" w:hAnsi="仿宋_GB2312" w:eastAsia="仿宋_GB2312"/>
          <w:color w:val="000000"/>
          <w:kern w:val="2"/>
          <w:sz w:val="32"/>
          <w:szCs w:val="24"/>
          <w:lang w:val="zh-CN"/>
        </w:rPr>
        <w:t>%。</w:t>
      </w:r>
    </w:p>
    <w:p>
      <w:pPr>
        <w:keepNext/>
        <w:keepLines/>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其中：</w:t>
      </w:r>
      <w:r>
        <w:rPr>
          <w:rFonts w:hint="eastAsia" w:ascii="仿宋_GB2312" w:hAnsi="仿宋_GB2312" w:eastAsia="仿宋_GB2312"/>
          <w:b/>
          <w:color w:val="000000"/>
          <w:kern w:val="2"/>
          <w:sz w:val="32"/>
          <w:szCs w:val="24"/>
          <w:lang w:val="zh-CN"/>
        </w:rPr>
        <w:t>公务用车购置费</w:t>
      </w:r>
      <w:r>
        <w:rPr>
          <w:rFonts w:hint="eastAsia" w:ascii="仿宋_GB2312" w:hAnsi="仿宋_GB2312" w:eastAsia="仿宋_GB2312"/>
          <w:color w:val="000000"/>
          <w:kern w:val="2"/>
          <w:sz w:val="32"/>
          <w:szCs w:val="24"/>
          <w:lang w:val="zh-CN"/>
        </w:rPr>
        <w:t>支出0万元。全年按规定更新购置公务用车0辆。截至2022年12月底，本部门共有公务用车0辆</w:t>
      </w:r>
      <w:r>
        <w:rPr>
          <w:rFonts w:hint="eastAsia" w:ascii="仿宋_GB2312" w:hAnsi="仿宋_GB2312" w:eastAsia="仿宋_GB2312"/>
          <w:color w:val="000000"/>
          <w:kern w:val="2"/>
          <w:sz w:val="32"/>
          <w:szCs w:val="24"/>
          <w:u w:val="none" w:color="FFFFFF"/>
          <w:shd w:val="clear" w:fill="FFFFFF"/>
          <w:lang w:val="zh-CN"/>
        </w:rPr>
        <w:t>。</w:t>
      </w:r>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公务用车运行维护费</w:t>
      </w:r>
      <w:r>
        <w:rPr>
          <w:rFonts w:hint="eastAsia" w:ascii="仿宋_GB2312" w:hAnsi="仿宋_GB2312" w:eastAsia="仿宋_GB2312"/>
          <w:color w:val="000000"/>
          <w:kern w:val="2"/>
          <w:sz w:val="32"/>
          <w:szCs w:val="24"/>
          <w:lang w:val="zh-CN"/>
        </w:rPr>
        <w:t>支出0万元。</w:t>
      </w:r>
    </w:p>
    <w:p>
      <w:pPr>
        <w:keepNext/>
        <w:keepLines/>
        <w:spacing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3.公务接待费</w:t>
      </w:r>
      <w:r>
        <w:rPr>
          <w:rFonts w:hint="eastAsia" w:ascii="仿宋_GB2312" w:hAnsi="仿宋_GB2312" w:eastAsia="仿宋_GB2312"/>
          <w:color w:val="000000"/>
          <w:kern w:val="2"/>
          <w:sz w:val="32"/>
          <w:szCs w:val="24"/>
          <w:lang w:val="zh-CN"/>
        </w:rPr>
        <w:t>支出0.14万元，完成预算8.4%。公务接待费支出决算比2021年减少</w:t>
      </w:r>
      <w:r>
        <w:rPr>
          <w:rFonts w:hint="eastAsia" w:ascii="仿宋_GB2312" w:hAnsi="仿宋_GB2312" w:eastAsia="仿宋_GB2312"/>
          <w:color w:val="000000"/>
          <w:kern w:val="2"/>
          <w:sz w:val="32"/>
          <w:szCs w:val="24"/>
          <w:lang w:val="en-US" w:eastAsia="zh-CN"/>
        </w:rPr>
        <w:t>1.34</w:t>
      </w:r>
      <w:r>
        <w:rPr>
          <w:rFonts w:hint="eastAsia" w:ascii="仿宋_GB2312" w:hAnsi="仿宋_GB2312" w:eastAsia="仿宋_GB2312"/>
          <w:color w:val="000000"/>
          <w:kern w:val="2"/>
          <w:sz w:val="32"/>
          <w:szCs w:val="24"/>
          <w:lang w:val="zh-CN"/>
        </w:rPr>
        <w:t>万元，下降9</w:t>
      </w:r>
      <w:r>
        <w:rPr>
          <w:rFonts w:hint="eastAsia" w:ascii="仿宋_GB2312" w:hAnsi="仿宋_GB2312" w:eastAsia="仿宋_GB2312"/>
          <w:color w:val="000000"/>
          <w:kern w:val="2"/>
          <w:sz w:val="32"/>
          <w:szCs w:val="24"/>
          <w:lang w:val="en-US" w:eastAsia="zh-CN"/>
        </w:rPr>
        <w:t>0.5</w:t>
      </w:r>
      <w:r>
        <w:rPr>
          <w:rFonts w:hint="eastAsia" w:ascii="仿宋_GB2312" w:hAnsi="仿宋_GB2312" w:eastAsia="仿宋_GB2312"/>
          <w:color w:val="000000"/>
          <w:kern w:val="2"/>
          <w:sz w:val="32"/>
          <w:szCs w:val="24"/>
          <w:lang w:val="zh-CN"/>
        </w:rPr>
        <w:t>%。</w:t>
      </w:r>
      <w:r>
        <w:rPr>
          <w:rFonts w:hint="eastAsia" w:ascii="仿宋_GB2312" w:hAnsi="Times New Roman" w:eastAsia="仿宋_GB2312"/>
          <w:color w:val="auto"/>
          <w:sz w:val="32"/>
          <w:szCs w:val="24"/>
        </w:rPr>
        <w:t>主要原因是贯彻落实中央八项规定，厉行节约，从严控制“三公”经费支出。</w:t>
      </w:r>
      <w:r>
        <w:rPr>
          <w:rFonts w:hint="eastAsia" w:ascii="仿宋_GB2312" w:hAnsi="仿宋_GB2312" w:eastAsia="仿宋_GB2312"/>
          <w:color w:val="000000"/>
          <w:kern w:val="2"/>
          <w:sz w:val="32"/>
          <w:szCs w:val="24"/>
          <w:lang w:val="zh-CN"/>
        </w:rPr>
        <w:t>其中</w:t>
      </w:r>
      <w:r>
        <w:rPr>
          <w:rFonts w:hint="eastAsia" w:ascii="仿宋_GB2312" w:hAnsi="仿宋_GB2312" w:eastAsia="仿宋_GB2312"/>
          <w:color w:val="000000"/>
          <w:kern w:val="2"/>
          <w:sz w:val="32"/>
          <w:szCs w:val="24"/>
          <w:u w:val="none" w:color="FFFFFF"/>
          <w:shd w:val="clear" w:fill="FFFFFF"/>
          <w:lang w:val="zh-CN"/>
        </w:rPr>
        <w:t>：</w:t>
      </w:r>
    </w:p>
    <w:p>
      <w:pPr>
        <w:spacing w:line="600" w:lineRule="exact"/>
        <w:ind w:firstLine="640"/>
        <w:rPr>
          <w:rFonts w:hint="eastAsia" w:ascii="黑体" w:hAnsi="Times New Roman" w:eastAsia="黑体"/>
          <w:color w:val="auto"/>
          <w:sz w:val="32"/>
          <w:szCs w:val="24"/>
        </w:rPr>
      </w:pPr>
      <w:r>
        <w:rPr>
          <w:rFonts w:hint="eastAsia" w:ascii="仿宋_GB2312" w:hAnsi="仿宋_GB2312" w:eastAsia="仿宋_GB2312"/>
          <w:b/>
          <w:color w:val="auto"/>
          <w:kern w:val="2"/>
          <w:sz w:val="32"/>
          <w:szCs w:val="24"/>
          <w:lang w:val="zh-CN"/>
        </w:rPr>
        <w:t>国内公务接待</w:t>
      </w:r>
      <w:r>
        <w:rPr>
          <w:rFonts w:hint="eastAsia" w:ascii="仿宋_GB2312" w:hAnsi="仿宋_GB2312" w:eastAsia="仿宋_GB2312"/>
          <w:color w:val="auto"/>
          <w:kern w:val="2"/>
          <w:sz w:val="32"/>
          <w:szCs w:val="24"/>
          <w:lang w:val="zh-CN"/>
        </w:rPr>
        <w:t>支出0.14万元。</w:t>
      </w:r>
      <w:r>
        <w:rPr>
          <w:rFonts w:hint="eastAsia" w:ascii="仿宋_GB2312" w:hAnsi="Times New Roman" w:eastAsia="仿宋_GB2312"/>
          <w:color w:val="auto"/>
          <w:sz w:val="32"/>
          <w:szCs w:val="24"/>
        </w:rPr>
        <w:t>主要用于执行公务、开展业务活动开支的交通费、住宿费、用餐费等。国内公务接待</w:t>
      </w:r>
      <w:r>
        <w:rPr>
          <w:rFonts w:hint="eastAsia" w:ascii="仿宋_GB2312" w:hAnsi="Times New Roman" w:eastAsia="仿宋_GB2312"/>
          <w:color w:val="auto"/>
          <w:sz w:val="32"/>
          <w:szCs w:val="24"/>
          <w:lang w:val="en-US" w:eastAsia="zh-CN"/>
        </w:rPr>
        <w:t>6</w:t>
      </w:r>
      <w:r>
        <w:rPr>
          <w:rFonts w:hint="eastAsia" w:ascii="仿宋_GB2312" w:hAnsi="Times New Roman" w:eastAsia="仿宋_GB2312"/>
          <w:color w:val="auto"/>
          <w:sz w:val="32"/>
          <w:szCs w:val="24"/>
        </w:rPr>
        <w:t>批次，</w:t>
      </w:r>
      <w:r>
        <w:rPr>
          <w:rFonts w:hint="eastAsia" w:ascii="仿宋_GB2312" w:hAnsi="Times New Roman" w:eastAsia="仿宋_GB2312"/>
          <w:color w:val="auto"/>
          <w:sz w:val="32"/>
          <w:szCs w:val="24"/>
          <w:lang w:val="en-US" w:eastAsia="zh-CN"/>
        </w:rPr>
        <w:t>25</w:t>
      </w:r>
      <w:r>
        <w:rPr>
          <w:rFonts w:hint="eastAsia" w:ascii="仿宋_GB2312" w:hAnsi="Times New Roman" w:eastAsia="仿宋_GB2312"/>
          <w:color w:val="auto"/>
          <w:sz w:val="32"/>
          <w:szCs w:val="24"/>
        </w:rPr>
        <w:t>人次（不包括陪同人员），共计支出</w:t>
      </w:r>
      <w:r>
        <w:rPr>
          <w:rFonts w:hint="eastAsia" w:ascii="仿宋_GB2312" w:hAnsi="Times New Roman" w:eastAsia="仿宋_GB2312"/>
          <w:color w:val="auto"/>
          <w:sz w:val="32"/>
          <w:szCs w:val="24"/>
          <w:lang w:val="en-US" w:eastAsia="zh-CN"/>
        </w:rPr>
        <w:t>0.14</w:t>
      </w:r>
      <w:r>
        <w:rPr>
          <w:rFonts w:hint="eastAsia" w:ascii="仿宋_GB2312" w:hAnsi="Times New Roman" w:eastAsia="仿宋_GB2312"/>
          <w:color w:val="auto"/>
          <w:sz w:val="32"/>
          <w:szCs w:val="24"/>
        </w:rPr>
        <w:t>万元，具体内容包括：信访维稳、疫情防控、</w:t>
      </w:r>
      <w:r>
        <w:rPr>
          <w:rFonts w:hint="eastAsia" w:ascii="仿宋_GB2312" w:hAnsi="Times New Roman" w:eastAsia="仿宋_GB2312"/>
          <w:color w:val="auto"/>
          <w:sz w:val="32"/>
          <w:szCs w:val="24"/>
          <w:lang w:eastAsia="zh-CN"/>
        </w:rPr>
        <w:t>校园安全、地质灾害、安全生产</w:t>
      </w:r>
      <w:r>
        <w:rPr>
          <w:rFonts w:hint="eastAsia" w:ascii="仿宋_GB2312" w:hAnsi="Times New Roman" w:eastAsia="仿宋_GB2312"/>
          <w:color w:val="auto"/>
          <w:sz w:val="32"/>
          <w:szCs w:val="24"/>
        </w:rPr>
        <w:t>等相关部门检查指导工作发生的接待支出。</w:t>
      </w:r>
    </w:p>
    <w:p>
      <w:pPr>
        <w:keepNext/>
        <w:keepLines/>
        <w:spacing w:line="576" w:lineRule="exact"/>
        <w:ind w:firstLine="643"/>
        <w:jc w:val="both"/>
        <w:rPr>
          <w:rFonts w:hint="eastAsia" w:ascii="仿宋_GB2312" w:hAnsi="仿宋_GB2312" w:eastAsia="仿宋_GB2312"/>
          <w:color w:val="000000"/>
          <w:kern w:val="2"/>
          <w:sz w:val="32"/>
          <w:szCs w:val="24"/>
          <w:lang w:val="en-US"/>
        </w:rPr>
      </w:pPr>
      <w:r>
        <w:rPr>
          <w:rFonts w:hint="eastAsia" w:ascii="仿宋_GB2312" w:hAnsi="仿宋_GB2312" w:eastAsia="仿宋_GB2312"/>
          <w:b/>
          <w:color w:val="000000"/>
          <w:kern w:val="2"/>
          <w:sz w:val="32"/>
          <w:szCs w:val="24"/>
          <w:lang w:val="zh-CN"/>
        </w:rPr>
        <w:t>外事接待</w:t>
      </w:r>
      <w:r>
        <w:rPr>
          <w:rFonts w:hint="eastAsia" w:ascii="仿宋_GB2312" w:hAnsi="仿宋_GB2312" w:eastAsia="仿宋_GB2312"/>
          <w:color w:val="000000"/>
          <w:kern w:val="2"/>
          <w:sz w:val="32"/>
          <w:szCs w:val="24"/>
          <w:lang w:val="zh-CN"/>
        </w:rPr>
        <w:t>支出0万元。外事接待0批次，0人，共计支出0万元。</w:t>
      </w:r>
    </w:p>
    <w:p>
      <w:pPr>
        <w:spacing w:line="560" w:lineRule="exact"/>
        <w:ind w:firstLine="640" w:firstLineChars="200"/>
        <w:outlineLvl w:val="1"/>
        <w:rPr>
          <w:rFonts w:hint="eastAsia" w:ascii="黑体" w:hAnsi="黑体" w:eastAsia="黑体" w:cs="黑体"/>
          <w:sz w:val="32"/>
          <w:szCs w:val="24"/>
          <w:lang w:val="zh-CN"/>
        </w:rPr>
      </w:pPr>
      <w:bookmarkStart w:id="72" w:name="_Toc26550"/>
      <w:bookmarkStart w:id="73" w:name="_Toc18395"/>
      <w:bookmarkStart w:id="74" w:name="_Toc26393"/>
      <w:bookmarkStart w:id="75" w:name="_Toc22165"/>
      <w:r>
        <w:rPr>
          <w:rFonts w:hint="eastAsia" w:ascii="黑体" w:hAnsi="黑体" w:eastAsia="黑体" w:cs="黑体"/>
          <w:sz w:val="32"/>
          <w:szCs w:val="24"/>
          <w:lang w:val="zh-CN"/>
        </w:rPr>
        <w:t>八、政府性基金预算支出决算情况说明</w:t>
      </w:r>
      <w:bookmarkEnd w:id="72"/>
      <w:bookmarkEnd w:id="73"/>
      <w:bookmarkEnd w:id="74"/>
      <w:bookmarkEnd w:id="75"/>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2022年政府性基金预算拨款支出0万元。</w:t>
      </w:r>
    </w:p>
    <w:p>
      <w:pPr>
        <w:spacing w:line="560" w:lineRule="exact"/>
        <w:ind w:firstLine="640" w:firstLineChars="200"/>
        <w:outlineLvl w:val="1"/>
        <w:rPr>
          <w:rFonts w:hint="eastAsia" w:ascii="黑体" w:hAnsi="黑体" w:eastAsia="黑体" w:cs="黑体"/>
          <w:sz w:val="32"/>
          <w:szCs w:val="24"/>
          <w:lang w:val="zh-CN"/>
        </w:rPr>
      </w:pPr>
      <w:bookmarkStart w:id="76" w:name="_Toc25089"/>
      <w:bookmarkStart w:id="77" w:name="_Toc6173"/>
      <w:bookmarkStart w:id="78" w:name="_Toc17610"/>
      <w:bookmarkStart w:id="79" w:name="_Toc24211"/>
      <w:r>
        <w:rPr>
          <w:rFonts w:hint="eastAsia" w:ascii="黑体" w:hAnsi="黑体" w:eastAsia="黑体" w:cs="黑体"/>
          <w:sz w:val="32"/>
          <w:szCs w:val="24"/>
          <w:lang w:val="zh-CN"/>
        </w:rPr>
        <w:t>九、国有资本经营预算支出决算情况说明</w:t>
      </w:r>
      <w:bookmarkEnd w:id="76"/>
      <w:bookmarkEnd w:id="77"/>
      <w:bookmarkEnd w:id="78"/>
      <w:bookmarkEnd w:id="79"/>
    </w:p>
    <w:p>
      <w:pPr>
        <w:spacing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2022年国有资本经营预算拨款支出0万元。</w:t>
      </w:r>
    </w:p>
    <w:p>
      <w:pPr>
        <w:spacing w:line="560" w:lineRule="exact"/>
        <w:ind w:firstLine="640" w:firstLineChars="200"/>
        <w:outlineLvl w:val="1"/>
        <w:rPr>
          <w:rFonts w:hint="eastAsia" w:ascii="黑体" w:hAnsi="黑体" w:eastAsia="黑体" w:cs="黑体"/>
          <w:sz w:val="32"/>
          <w:szCs w:val="24"/>
          <w:lang w:val="zh-CN"/>
        </w:rPr>
      </w:pPr>
      <w:bookmarkStart w:id="80" w:name="_Toc30876"/>
      <w:bookmarkStart w:id="81" w:name="_Toc15198"/>
      <w:bookmarkStart w:id="82" w:name="_Toc15819"/>
      <w:bookmarkStart w:id="83" w:name="_Toc20751"/>
      <w:r>
        <w:rPr>
          <w:rFonts w:hint="eastAsia" w:ascii="黑体" w:hAnsi="黑体" w:eastAsia="黑体" w:cs="黑体"/>
          <w:sz w:val="32"/>
          <w:szCs w:val="24"/>
          <w:lang w:val="zh-CN"/>
        </w:rPr>
        <w:t>十、其他重要事项的情况说明</w:t>
      </w:r>
      <w:bookmarkEnd w:id="80"/>
      <w:bookmarkEnd w:id="81"/>
      <w:bookmarkEnd w:id="82"/>
      <w:bookmarkEnd w:id="83"/>
    </w:p>
    <w:p>
      <w:pPr>
        <w:ind w:firstLine="640" w:firstLineChars="200"/>
        <w:rPr>
          <w:rFonts w:hint="eastAsia" w:ascii="Times New Roman" w:hAnsi="Times New Roman" w:eastAsia="仿宋_GB2312"/>
          <w:sz w:val="32"/>
          <w:szCs w:val="24"/>
          <w:lang w:val="zh-CN"/>
        </w:rPr>
      </w:pPr>
      <w:bookmarkStart w:id="84" w:name="_Toc4471"/>
      <w:bookmarkStart w:id="85" w:name="_Toc13530"/>
      <w:r>
        <w:rPr>
          <w:rFonts w:hint="eastAsia" w:ascii="Times New Roman" w:hAnsi="Times New Roman" w:eastAsia="仿宋_GB2312"/>
          <w:sz w:val="32"/>
          <w:szCs w:val="24"/>
          <w:lang w:val="zh-CN"/>
        </w:rPr>
        <w:t>（一）机关运行经费支出情况</w:t>
      </w:r>
      <w:bookmarkEnd w:id="84"/>
      <w:bookmarkEnd w:id="85"/>
    </w:p>
    <w:p>
      <w:pPr>
        <w:spacing w:line="576" w:lineRule="exact"/>
        <w:ind w:firstLine="640"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2022年，通江县板桥口镇人民政府机关运行经费支出0万元，比2021年增加0万元，增长0%。</w:t>
      </w:r>
    </w:p>
    <w:p>
      <w:pPr>
        <w:ind w:firstLine="640" w:firstLineChars="200"/>
        <w:rPr>
          <w:rFonts w:hint="eastAsia" w:ascii="Times New Roman" w:hAnsi="Times New Roman" w:eastAsia="仿宋_GB2312"/>
          <w:sz w:val="32"/>
          <w:szCs w:val="24"/>
          <w:lang w:val="zh-CN"/>
        </w:rPr>
      </w:pPr>
      <w:bookmarkStart w:id="86" w:name="_Toc3644"/>
      <w:bookmarkStart w:id="87" w:name="_Toc29050"/>
      <w:r>
        <w:rPr>
          <w:rFonts w:hint="eastAsia" w:ascii="Times New Roman" w:hAnsi="Times New Roman" w:eastAsia="仿宋_GB2312"/>
          <w:sz w:val="32"/>
          <w:szCs w:val="24"/>
          <w:lang w:val="zh-CN"/>
        </w:rPr>
        <w:t>（二）政府采购支出情况</w:t>
      </w:r>
      <w:bookmarkEnd w:id="86"/>
      <w:bookmarkEnd w:id="87"/>
    </w:p>
    <w:p>
      <w:pPr>
        <w:spacing w:line="576" w:lineRule="exact"/>
        <w:ind w:firstLine="640"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u w:val="none" w:color="FFFFFF"/>
          <w:shd w:val="clear" w:fill="FFFFFF"/>
          <w:lang w:val="zh-CN"/>
        </w:rPr>
        <w:t>2022年，通江县板桥口镇人民政府政府采购支出总额0万元，其中：政府采购货物支出0万元、政府采购工程支出0万元、政府采购服务支出0万元。</w:t>
      </w:r>
      <w:r>
        <w:rPr>
          <w:rFonts w:hint="eastAsia" w:ascii="仿宋_GB2312" w:hAnsi="仿宋_GB2312" w:eastAsia="仿宋_GB2312"/>
          <w:color w:val="000000"/>
          <w:kern w:val="2"/>
          <w:sz w:val="32"/>
          <w:szCs w:val="24"/>
          <w:lang w:val="zh-CN"/>
        </w:rPr>
        <w:t>授予中小</w:t>
      </w:r>
      <w:r>
        <w:rPr>
          <w:rFonts w:hint="eastAsia" w:ascii="仿宋_GB2312" w:hAnsi="仿宋_GB2312" w:eastAsia="仿宋_GB2312"/>
          <w:color w:val="000000"/>
          <w:kern w:val="2"/>
          <w:sz w:val="32"/>
          <w:szCs w:val="24"/>
          <w:u w:val="thick" w:color="98967F"/>
          <w:shd w:val="clear" w:fill="98967F"/>
          <w:lang w:val="zh-CN"/>
        </w:rPr>
        <w:t>企业合同金额0万元，</w:t>
      </w:r>
      <w:r>
        <w:rPr>
          <w:rFonts w:hint="eastAsia" w:ascii="仿宋_GB2312" w:hAnsi="仿宋_GB2312" w:eastAsia="仿宋_GB2312"/>
          <w:color w:val="000000"/>
          <w:kern w:val="2"/>
          <w:sz w:val="32"/>
          <w:szCs w:val="24"/>
          <w:u w:val="thick" w:color="98967F"/>
          <w:shd w:val="clear" w:fill="98967F"/>
          <w:lang w:val="zh-CN"/>
        </w:rPr>
        <w:t>占政府采购支出总额的0%</w:t>
      </w:r>
      <w:r>
        <w:rPr>
          <w:rFonts w:hint="eastAsia" w:ascii="仿宋_GB2312" w:hAnsi="仿宋_GB2312" w:eastAsia="仿宋_GB2312"/>
          <w:color w:val="000000"/>
          <w:kern w:val="2"/>
          <w:sz w:val="32"/>
          <w:szCs w:val="24"/>
          <w:lang w:val="zh-CN"/>
        </w:rPr>
        <w:t>，其中：授予小微</w:t>
      </w:r>
      <w:r>
        <w:rPr>
          <w:rFonts w:hint="eastAsia" w:ascii="仿宋_GB2312" w:hAnsi="仿宋_GB2312" w:eastAsia="仿宋_GB2312"/>
          <w:color w:val="000000"/>
          <w:kern w:val="2"/>
          <w:sz w:val="32"/>
          <w:szCs w:val="24"/>
          <w:u w:val="thick" w:color="98967F"/>
          <w:shd w:val="clear" w:fill="98967F"/>
          <w:lang w:val="zh-CN"/>
        </w:rPr>
        <w:t>企业合同金额0万元，</w:t>
      </w:r>
      <w:r>
        <w:rPr>
          <w:rFonts w:hint="eastAsia" w:ascii="仿宋_GB2312" w:hAnsi="仿宋_GB2312" w:eastAsia="仿宋_GB2312"/>
          <w:color w:val="auto"/>
          <w:kern w:val="2"/>
          <w:sz w:val="32"/>
          <w:szCs w:val="24"/>
          <w:u w:val="thick" w:color="98967F"/>
          <w:shd w:val="clear" w:fill="98967F"/>
          <w:lang w:val="en-US"/>
        </w:rPr>
        <w:t>占政府采购支出总额的</w:t>
      </w:r>
      <w:r>
        <w:rPr>
          <w:rFonts w:hint="eastAsia" w:ascii="仿宋_GB2312" w:hAnsi="仿宋_GB2312" w:eastAsia="仿宋_GB2312"/>
          <w:color w:val="000000"/>
          <w:kern w:val="2"/>
          <w:sz w:val="32"/>
          <w:szCs w:val="24"/>
          <w:u w:val="thick" w:color="98967F"/>
          <w:shd w:val="clear" w:fill="98967F"/>
          <w:lang w:val="zh-CN"/>
        </w:rPr>
        <w:t>0%</w:t>
      </w:r>
      <w:r>
        <w:rPr>
          <w:rFonts w:hint="eastAsia" w:ascii="仿宋_GB2312" w:hAnsi="仿宋_GB2312" w:eastAsia="仿宋_GB2312"/>
          <w:color w:val="000000"/>
          <w:kern w:val="2"/>
          <w:sz w:val="32"/>
          <w:szCs w:val="24"/>
          <w:lang w:val="zh-CN"/>
        </w:rPr>
        <w:t>。</w:t>
      </w:r>
    </w:p>
    <w:p>
      <w:pPr>
        <w:ind w:firstLine="640" w:firstLineChars="200"/>
        <w:rPr>
          <w:rFonts w:hint="eastAsia" w:ascii="Times New Roman" w:hAnsi="Times New Roman" w:eastAsia="仿宋_GB2312"/>
          <w:sz w:val="32"/>
          <w:szCs w:val="24"/>
          <w:lang w:val="zh-CN"/>
        </w:rPr>
      </w:pPr>
      <w:bookmarkStart w:id="88" w:name="_Toc4168"/>
      <w:bookmarkStart w:id="89" w:name="_Toc1260"/>
      <w:r>
        <w:rPr>
          <w:rFonts w:hint="eastAsia" w:ascii="Times New Roman" w:hAnsi="Times New Roman" w:eastAsia="仿宋_GB2312"/>
          <w:sz w:val="32"/>
          <w:szCs w:val="24"/>
          <w:lang w:val="zh-CN"/>
        </w:rPr>
        <w:t>（三）国有资产占</w:t>
      </w:r>
      <w:r>
        <w:rPr>
          <w:rFonts w:hint="eastAsia" w:ascii="Times New Roman" w:hAnsi="Times New Roman" w:eastAsia="仿宋_GB2312"/>
          <w:sz w:val="32"/>
          <w:szCs w:val="24"/>
          <w:u w:val="none" w:color="FFFFFF"/>
          <w:shd w:val="clear" w:fill="FFFFFF"/>
          <w:lang w:val="zh-CN"/>
        </w:rPr>
        <w:t>有</w:t>
      </w:r>
      <w:r>
        <w:rPr>
          <w:rFonts w:hint="eastAsia" w:ascii="Times New Roman" w:hAnsi="Times New Roman" w:eastAsia="仿宋_GB2312"/>
          <w:sz w:val="32"/>
          <w:szCs w:val="24"/>
          <w:lang w:val="zh-CN"/>
        </w:rPr>
        <w:t>使用情况</w:t>
      </w:r>
      <w:bookmarkEnd w:id="88"/>
      <w:bookmarkEnd w:id="89"/>
    </w:p>
    <w:p>
      <w:pPr>
        <w:spacing w:line="576" w:lineRule="exact"/>
        <w:ind w:firstLine="640" w:firstLineChars="200"/>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截至2022年12月31日，通江县板桥口镇人民政府共有车辆0辆，其中：副部（省）级及以上领导用车0辆、主要领导干部用车0辆、机要通信用车0辆、应急保障用车0辆、执法执勤用车0辆、特种专业技术用车0辆、离退休干部用车0辆、其他用车0辆。单价100万元（含）以上设备0台（套</w:t>
      </w:r>
      <w:r>
        <w:rPr>
          <w:rFonts w:hint="eastAsia" w:ascii="仿宋_GB2312" w:hAnsi="仿宋_GB2312" w:eastAsia="仿宋_GB2312"/>
          <w:color w:val="000000"/>
          <w:kern w:val="2"/>
          <w:sz w:val="32"/>
          <w:szCs w:val="24"/>
          <w:u w:val="none" w:color="FFFFFF"/>
          <w:shd w:val="clear" w:fill="FFFFFF"/>
          <w:lang w:val="zh-CN"/>
        </w:rPr>
        <w:t>）</w:t>
      </w:r>
      <w:r>
        <w:rPr>
          <w:rFonts w:hint="eastAsia" w:ascii="仿宋_GB2312" w:hAnsi="仿宋_GB2312" w:eastAsia="仿宋_GB2312"/>
          <w:color w:val="000000"/>
          <w:kern w:val="2"/>
          <w:sz w:val="32"/>
          <w:szCs w:val="24"/>
          <w:lang w:val="zh-CN"/>
        </w:rPr>
        <w:t>。</w:t>
      </w:r>
    </w:p>
    <w:p>
      <w:pPr>
        <w:ind w:firstLine="640" w:firstLineChars="200"/>
        <w:rPr>
          <w:rFonts w:hint="eastAsia" w:ascii="Times New Roman" w:hAnsi="Times New Roman" w:eastAsia="仿宋_GB2312"/>
          <w:sz w:val="32"/>
          <w:szCs w:val="24"/>
          <w:lang w:val="zh-CN"/>
        </w:rPr>
      </w:pPr>
      <w:bookmarkStart w:id="90" w:name="_Toc122"/>
      <w:bookmarkStart w:id="91" w:name="_Toc10901"/>
      <w:r>
        <w:rPr>
          <w:rFonts w:hint="eastAsia" w:ascii="Times New Roman" w:hAnsi="Times New Roman" w:eastAsia="仿宋_GB2312"/>
          <w:sz w:val="32"/>
          <w:szCs w:val="24"/>
          <w:lang w:val="zh-CN"/>
        </w:rPr>
        <w:t>（四）预算绩效管理情况</w:t>
      </w:r>
      <w:bookmarkEnd w:id="90"/>
      <w:bookmarkEnd w:id="91"/>
    </w:p>
    <w:p>
      <w:pPr>
        <w:spacing w:line="576" w:lineRule="exact"/>
        <w:ind w:firstLine="640" w:firstLineChars="200"/>
        <w:jc w:val="both"/>
        <w:rPr>
          <w:rFonts w:hint="eastAsia" w:ascii="仿宋_GB2312" w:hAnsi="仿宋_GB2312" w:eastAsia="仿宋_GB2312"/>
          <w:color w:val="auto"/>
          <w:kern w:val="2"/>
          <w:sz w:val="32"/>
          <w:szCs w:val="24"/>
          <w:lang w:val="en-US"/>
        </w:rPr>
      </w:pPr>
      <w:r>
        <w:rPr>
          <w:rFonts w:hint="eastAsia" w:ascii="仿宋_GB2312" w:hAnsi="仿宋_GB2312" w:eastAsia="仿宋_GB2312"/>
          <w:color w:val="auto"/>
          <w:kern w:val="2"/>
          <w:sz w:val="32"/>
          <w:szCs w:val="24"/>
          <w:lang w:val="en-US"/>
        </w:rPr>
        <w:t>根据预算绩效管理要求，本部门在2022年度预算编制阶段，组织对</w:t>
      </w:r>
      <w:r>
        <w:rPr>
          <w:rFonts w:hint="eastAsia" w:ascii="仿宋_GB2312" w:hAnsi="仿宋_GB2312" w:eastAsia="仿宋_GB2312" w:cs="仿宋_GB2312"/>
          <w:color w:val="auto"/>
          <w:sz w:val="32"/>
          <w:szCs w:val="32"/>
          <w:lang w:eastAsia="zh-CN"/>
        </w:rPr>
        <w:t>危房改造</w:t>
      </w:r>
      <w:r>
        <w:rPr>
          <w:rFonts w:hint="eastAsia" w:ascii="仿宋_GB2312" w:hAnsi="仿宋_GB2312" w:eastAsia="仿宋_GB2312"/>
          <w:color w:val="auto"/>
          <w:kern w:val="2"/>
          <w:sz w:val="32"/>
          <w:szCs w:val="24"/>
          <w:lang w:val="en-US"/>
        </w:rPr>
        <w:t>等</w:t>
      </w:r>
      <w:r>
        <w:rPr>
          <w:rFonts w:hint="eastAsia" w:ascii="仿宋_GB2312" w:hAnsi="仿宋_GB2312" w:eastAsia="仿宋_GB2312"/>
          <w:color w:val="auto"/>
          <w:kern w:val="2"/>
          <w:sz w:val="32"/>
          <w:szCs w:val="24"/>
          <w:lang w:val="en-US" w:eastAsia="zh-CN"/>
        </w:rPr>
        <w:t>13</w:t>
      </w:r>
      <w:r>
        <w:rPr>
          <w:rFonts w:hint="eastAsia" w:ascii="仿宋_GB2312" w:hAnsi="仿宋_GB2312" w:eastAsia="仿宋_GB2312"/>
          <w:color w:val="auto"/>
          <w:kern w:val="2"/>
          <w:sz w:val="32"/>
          <w:szCs w:val="24"/>
          <w:lang w:val="en-US"/>
        </w:rPr>
        <w:t>个项目开展了预算事前绩效评估，对</w:t>
      </w:r>
      <w:r>
        <w:rPr>
          <w:rFonts w:hint="eastAsia" w:ascii="仿宋_GB2312" w:hAnsi="仿宋_GB2312" w:eastAsia="仿宋_GB2312"/>
          <w:color w:val="auto"/>
          <w:kern w:val="2"/>
          <w:sz w:val="32"/>
          <w:szCs w:val="24"/>
          <w:lang w:val="en-US" w:eastAsia="zh-CN"/>
        </w:rPr>
        <w:t>13</w:t>
      </w:r>
      <w:r>
        <w:rPr>
          <w:rFonts w:hint="eastAsia" w:ascii="仿宋_GB2312" w:hAnsi="仿宋_GB2312" w:eastAsia="仿宋_GB2312"/>
          <w:color w:val="auto"/>
          <w:kern w:val="2"/>
          <w:sz w:val="32"/>
          <w:szCs w:val="24"/>
          <w:lang w:val="en-US"/>
        </w:rPr>
        <w:t>个项目编制了绩效目标，预算执行过程中，选取</w:t>
      </w:r>
      <w:r>
        <w:rPr>
          <w:rFonts w:hint="eastAsia" w:ascii="仿宋_GB2312" w:hAnsi="仿宋_GB2312" w:eastAsia="仿宋_GB2312"/>
          <w:color w:val="auto"/>
          <w:kern w:val="2"/>
          <w:sz w:val="32"/>
          <w:szCs w:val="24"/>
          <w:lang w:val="en-US" w:eastAsia="zh-CN"/>
        </w:rPr>
        <w:t>2</w:t>
      </w:r>
      <w:r>
        <w:rPr>
          <w:rFonts w:hint="eastAsia" w:ascii="仿宋_GB2312" w:hAnsi="仿宋_GB2312" w:eastAsia="仿宋_GB2312"/>
          <w:color w:val="auto"/>
          <w:kern w:val="2"/>
          <w:sz w:val="32"/>
          <w:szCs w:val="24"/>
          <w:lang w:val="en-US"/>
        </w:rPr>
        <w:t>个项目开展绩效监控。</w:t>
      </w:r>
    </w:p>
    <w:p>
      <w:pPr>
        <w:spacing w:line="576" w:lineRule="exact"/>
        <w:ind w:firstLine="640" w:firstLineChars="200"/>
        <w:jc w:val="both"/>
        <w:rPr>
          <w:rFonts w:hint="default"/>
          <w:sz w:val="24"/>
          <w:szCs w:val="24"/>
          <w:lang w:val="zh-CN"/>
        </w:rPr>
      </w:pPr>
      <w:r>
        <w:rPr>
          <w:rFonts w:hint="eastAsia" w:ascii="仿宋_GB2312" w:hAnsi="仿宋_GB2312" w:eastAsia="仿宋_GB2312"/>
          <w:color w:val="auto"/>
          <w:kern w:val="2"/>
          <w:sz w:val="32"/>
          <w:szCs w:val="24"/>
          <w:lang w:val="en-US"/>
        </w:rPr>
        <w:t>组织对2022年度一般公共预算、政府性基金预算、国有资本经营预算、社会保险基金预算以及资本资产、债券资金等全面开展绩效自评，形成</w:t>
      </w:r>
      <w:r>
        <w:rPr>
          <w:rFonts w:hint="eastAsia" w:ascii="仿宋_GB2312" w:hAnsi="仿宋_GB2312" w:eastAsia="仿宋_GB2312"/>
          <w:color w:val="auto"/>
          <w:kern w:val="2"/>
          <w:sz w:val="32"/>
          <w:szCs w:val="24"/>
          <w:lang w:val="en-US" w:eastAsia="zh-CN"/>
        </w:rPr>
        <w:t>通江县板桥口镇人民政府</w:t>
      </w:r>
      <w:r>
        <w:rPr>
          <w:rFonts w:hint="eastAsia" w:ascii="仿宋_GB2312" w:hAnsi="仿宋_GB2312" w:eastAsia="仿宋_GB2312"/>
          <w:color w:val="auto"/>
          <w:kern w:val="2"/>
          <w:sz w:val="32"/>
          <w:szCs w:val="24"/>
          <w:lang w:val="en-US"/>
        </w:rPr>
        <w:t>整体（含部门预算项目）绩效自评报告</w:t>
      </w:r>
      <w:r>
        <w:rPr>
          <w:rFonts w:hint="eastAsia" w:ascii="仿宋_GB2312" w:hAnsi="仿宋_GB2312" w:eastAsia="仿宋_GB2312"/>
          <w:color w:val="auto"/>
          <w:kern w:val="2"/>
          <w:sz w:val="32"/>
          <w:szCs w:val="24"/>
          <w:u w:val="none" w:color="FFFFFF"/>
          <w:shd w:val="clear" w:fill="FFFFFF"/>
          <w:lang w:val="en-US" w:eastAsia="zh-CN"/>
        </w:rPr>
        <w:t>，</w:t>
      </w:r>
      <w:r>
        <w:rPr>
          <w:rFonts w:hint="eastAsia" w:ascii="仿宋_GB2312" w:hAnsi="仿宋_GB2312" w:eastAsia="仿宋_GB2312" w:cs="Times New Roman"/>
          <w:color w:val="auto"/>
          <w:kern w:val="2"/>
          <w:sz w:val="32"/>
          <w:szCs w:val="24"/>
          <w:lang w:val="en-US" w:eastAsia="zh-CN"/>
        </w:rPr>
        <w:t>砥坝村产业园建设、富硒肉兔产业发展</w:t>
      </w:r>
      <w:r>
        <w:rPr>
          <w:rFonts w:hint="eastAsia" w:ascii="仿宋_GB2312" w:hAnsi="仿宋_GB2312" w:eastAsia="仿宋_GB2312" w:cs="Times New Roman"/>
          <w:color w:val="auto"/>
          <w:kern w:val="2"/>
          <w:sz w:val="32"/>
          <w:szCs w:val="24"/>
          <w:lang w:val="en-US"/>
        </w:rPr>
        <w:t>等专项预算项目绩效自评报告，其中，</w:t>
      </w:r>
      <w:r>
        <w:rPr>
          <w:rFonts w:hint="eastAsia" w:ascii="仿宋_GB2312" w:hAnsi="仿宋_GB2312" w:eastAsia="仿宋_GB2312" w:cs="Times New Roman"/>
          <w:color w:val="auto"/>
          <w:kern w:val="2"/>
          <w:sz w:val="32"/>
          <w:szCs w:val="24"/>
          <w:lang w:val="en-US" w:eastAsia="zh-CN"/>
        </w:rPr>
        <w:t>通江县板桥口镇人民政府</w:t>
      </w:r>
      <w:r>
        <w:rPr>
          <w:rFonts w:hint="eastAsia" w:ascii="仿宋_GB2312" w:hAnsi="仿宋_GB2312" w:eastAsia="仿宋_GB2312" w:cs="Times New Roman"/>
          <w:color w:val="auto"/>
          <w:kern w:val="2"/>
          <w:sz w:val="32"/>
          <w:szCs w:val="24"/>
          <w:lang w:val="en-US"/>
        </w:rPr>
        <w:t>整体（含部门预算项目）绩效自评得分为</w:t>
      </w:r>
      <w:r>
        <w:rPr>
          <w:rFonts w:hint="eastAsia" w:ascii="仿宋_GB2312" w:hAnsi="仿宋_GB2312" w:eastAsia="仿宋_GB2312" w:cs="Times New Roman"/>
          <w:color w:val="auto"/>
          <w:kern w:val="2"/>
          <w:sz w:val="32"/>
          <w:szCs w:val="24"/>
          <w:lang w:val="en-US" w:eastAsia="zh-CN"/>
        </w:rPr>
        <w:t>97</w:t>
      </w:r>
      <w:r>
        <w:rPr>
          <w:rFonts w:hint="eastAsia" w:ascii="仿宋_GB2312" w:hAnsi="仿宋_GB2312" w:eastAsia="仿宋_GB2312" w:cs="Times New Roman"/>
          <w:color w:val="auto"/>
          <w:kern w:val="2"/>
          <w:sz w:val="32"/>
          <w:szCs w:val="24"/>
          <w:lang w:val="en-US"/>
        </w:rPr>
        <w:t>分；</w:t>
      </w:r>
      <w:r>
        <w:rPr>
          <w:rFonts w:hint="eastAsia" w:ascii="仿宋_GB2312" w:hAnsi="仿宋_GB2312" w:eastAsia="仿宋_GB2312" w:cs="Times New Roman"/>
          <w:color w:val="auto"/>
          <w:kern w:val="2"/>
          <w:sz w:val="32"/>
          <w:szCs w:val="24"/>
          <w:lang w:val="en-US" w:eastAsia="zh-CN"/>
        </w:rPr>
        <w:t>通江县板桥口镇砥坝村产业园建设</w:t>
      </w:r>
      <w:r>
        <w:rPr>
          <w:rFonts w:hint="eastAsia" w:ascii="仿宋_GB2312" w:hAnsi="仿宋_GB2312" w:eastAsia="仿宋_GB2312" w:cs="Times New Roman"/>
          <w:color w:val="auto"/>
          <w:kern w:val="2"/>
          <w:sz w:val="32"/>
          <w:szCs w:val="24"/>
          <w:lang w:val="en-US"/>
        </w:rPr>
        <w:t>专项预算项目绩效自评得分为</w:t>
      </w:r>
      <w:r>
        <w:rPr>
          <w:rFonts w:hint="eastAsia" w:ascii="仿宋_GB2312" w:hAnsi="仿宋_GB2312" w:eastAsia="仿宋_GB2312" w:cs="Times New Roman"/>
          <w:color w:val="auto"/>
          <w:kern w:val="2"/>
          <w:sz w:val="32"/>
          <w:szCs w:val="24"/>
          <w:lang w:val="en-US" w:eastAsia="zh-CN"/>
        </w:rPr>
        <w:t>98</w:t>
      </w:r>
      <w:r>
        <w:rPr>
          <w:rFonts w:hint="eastAsia" w:ascii="仿宋_GB2312" w:hAnsi="仿宋_GB2312" w:eastAsia="仿宋_GB2312" w:cs="Times New Roman"/>
          <w:color w:val="auto"/>
          <w:kern w:val="2"/>
          <w:sz w:val="32"/>
          <w:szCs w:val="24"/>
          <w:lang w:val="en-US"/>
        </w:rPr>
        <w:t>分</w:t>
      </w:r>
      <w:r>
        <w:rPr>
          <w:rFonts w:hint="eastAsia" w:ascii="仿宋_GB2312" w:hAnsi="仿宋_GB2312" w:eastAsia="仿宋_GB2312" w:cs="Times New Roman"/>
          <w:color w:val="auto"/>
          <w:kern w:val="2"/>
          <w:sz w:val="32"/>
          <w:szCs w:val="24"/>
          <w:lang w:val="en-US" w:eastAsia="zh-CN"/>
        </w:rPr>
        <w:t>；通江县板桥口镇富硒肉兔产业发展</w:t>
      </w:r>
      <w:r>
        <w:rPr>
          <w:rFonts w:hint="eastAsia" w:ascii="仿宋_GB2312" w:hAnsi="仿宋_GB2312" w:eastAsia="仿宋_GB2312" w:cs="Times New Roman"/>
          <w:color w:val="auto"/>
          <w:kern w:val="2"/>
          <w:sz w:val="32"/>
          <w:szCs w:val="24"/>
          <w:lang w:val="en-US"/>
        </w:rPr>
        <w:t>专项</w:t>
      </w:r>
      <w:r>
        <w:rPr>
          <w:rFonts w:hint="eastAsia" w:ascii="仿宋_GB2312" w:hAnsi="仿宋_GB2312" w:eastAsia="仿宋_GB2312"/>
          <w:color w:val="auto"/>
          <w:kern w:val="2"/>
          <w:sz w:val="32"/>
          <w:szCs w:val="24"/>
          <w:lang w:val="en-US"/>
        </w:rPr>
        <w:t>预算项目绩效自评得分为</w:t>
      </w:r>
      <w:r>
        <w:rPr>
          <w:rFonts w:hint="eastAsia" w:ascii="仿宋_GB2312" w:hAnsi="仿宋_GB2312" w:eastAsia="仿宋_GB2312"/>
          <w:color w:val="auto"/>
          <w:kern w:val="2"/>
          <w:sz w:val="32"/>
          <w:szCs w:val="24"/>
          <w:lang w:val="en-US" w:eastAsia="zh-CN"/>
        </w:rPr>
        <w:t>96分。</w:t>
      </w:r>
      <w:r>
        <w:rPr>
          <w:rFonts w:hint="eastAsia" w:ascii="仿宋_GB2312" w:hAnsi="仿宋_GB2312" w:eastAsia="仿宋_GB2312"/>
          <w:color w:val="auto"/>
          <w:kern w:val="2"/>
          <w:sz w:val="32"/>
          <w:szCs w:val="24"/>
          <w:lang w:val="en-US"/>
        </w:rPr>
        <w:t>绩效自评报告详见附件。</w:t>
      </w:r>
    </w:p>
    <w:p>
      <w:pPr>
        <w:spacing w:line="576" w:lineRule="exact"/>
        <w:jc w:val="both"/>
        <w:rPr>
          <w:rFonts w:hint="eastAsia" w:ascii="仿宋_GB2312" w:hAnsi="仿宋_GB2312" w:eastAsia="仿宋_GB2312"/>
          <w:b/>
          <w:color w:val="000000"/>
          <w:kern w:val="2"/>
          <w:sz w:val="32"/>
          <w:szCs w:val="24"/>
          <w:lang w:val="zh-CN"/>
        </w:rPr>
      </w:pPr>
    </w:p>
    <w:p>
      <w:pPr>
        <w:numPr>
          <w:ilvl w:val="0"/>
          <w:numId w:val="1"/>
        </w:numPr>
        <w:jc w:val="center"/>
        <w:outlineLvl w:val="0"/>
        <w:rPr>
          <w:rFonts w:hint="eastAsia" w:ascii="Times New Roman" w:hAnsi="Times New Roman" w:eastAsia="黑体" w:cs="Times New Roman"/>
          <w:sz w:val="44"/>
          <w:szCs w:val="36"/>
          <w:lang w:val="zh-CN"/>
        </w:rPr>
      </w:pPr>
      <w:bookmarkStart w:id="92" w:name="_Toc18406"/>
      <w:bookmarkStart w:id="93" w:name="_Toc27220"/>
      <w:bookmarkStart w:id="94" w:name="_Toc10770"/>
      <w:r>
        <w:rPr>
          <w:rFonts w:hint="eastAsia" w:ascii="Times New Roman" w:hAnsi="Times New Roman" w:eastAsia="黑体" w:cs="Times New Roman"/>
          <w:sz w:val="44"/>
          <w:szCs w:val="36"/>
          <w:lang w:val="zh-CN"/>
        </w:rPr>
        <w:t xml:space="preserve"> </w:t>
      </w:r>
      <w:bookmarkStart w:id="95" w:name="_Toc20460"/>
      <w:r>
        <w:rPr>
          <w:rFonts w:hint="eastAsia" w:ascii="Times New Roman" w:hAnsi="Times New Roman" w:eastAsia="黑体" w:cs="Times New Roman"/>
          <w:sz w:val="44"/>
          <w:szCs w:val="36"/>
          <w:lang w:val="zh-CN"/>
        </w:rPr>
        <w:t>名词解释</w:t>
      </w:r>
      <w:bookmarkEnd w:id="92"/>
      <w:bookmarkEnd w:id="93"/>
      <w:bookmarkEnd w:id="94"/>
      <w:bookmarkEnd w:id="95"/>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bookmarkStart w:id="96" w:name="_Toc19640"/>
      <w:bookmarkStart w:id="97" w:name="_Toc25976"/>
      <w:r>
        <w:rPr>
          <w:rFonts w:hint="eastAsia" w:ascii="仿宋_GB2312" w:hAnsi="仿宋_GB2312" w:eastAsia="仿宋_GB2312" w:cs="仿宋_GB2312"/>
          <w:color w:val="000000"/>
          <w:sz w:val="32"/>
          <w:szCs w:val="32"/>
          <w:shd w:val="clear" w:color="auto" w:fill="FFFFFF"/>
          <w:lang w:val="en-US" w:eastAsia="zh-CN" w:bidi="ar-SA"/>
        </w:rPr>
        <w:t>1.财政拨款收入：指单位从同级财政部门取得的财政预算资金。</w:t>
      </w:r>
      <w:bookmarkEnd w:id="96"/>
      <w:bookmarkEnd w:id="97"/>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2.事业收入：指事业单位开展专业业务活动及辅助活动取得的收入。</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3.经营收入：指事业单位在专业业务活动及其辅助活动之外开展非独立核算经营活动取得的收入。</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bookmarkStart w:id="98" w:name="_Toc1329"/>
      <w:bookmarkStart w:id="99" w:name="_Toc18267"/>
      <w:r>
        <w:rPr>
          <w:rFonts w:hint="eastAsia" w:ascii="仿宋_GB2312" w:hAnsi="仿宋_GB2312" w:eastAsia="仿宋_GB2312" w:cs="仿宋_GB2312"/>
          <w:color w:val="000000"/>
          <w:sz w:val="32"/>
          <w:szCs w:val="32"/>
          <w:shd w:val="clear" w:color="auto" w:fill="FFFFFF"/>
          <w:lang w:val="en-US" w:eastAsia="zh-CN" w:bidi="ar-SA"/>
        </w:rPr>
        <w:t>4.其他收入：指单位取得的除上述收入以外的各项收入。</w:t>
      </w:r>
      <w:bookmarkEnd w:id="98"/>
      <w:bookmarkEnd w:id="99"/>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 xml:space="preserve">5.使用非财政拨款结余：指事业单位使用以前年度积累的非财政拨款结余弥补当年收支差额的金额。 </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6.年初结转和结余：指以前年度尚未完成、结转到</w:t>
      </w:r>
      <w:r>
        <w:rPr>
          <w:rFonts w:hint="eastAsia" w:ascii="仿宋_GB2312" w:hAnsi="仿宋_GB2312" w:eastAsia="仿宋_GB2312" w:cs="仿宋_GB2312"/>
          <w:color w:val="000000"/>
          <w:sz w:val="32"/>
          <w:szCs w:val="32"/>
          <w:u w:val="none" w:color="FFFFFF"/>
          <w:shd w:val="clear" w:color="auto" w:fill="FFFFFF"/>
          <w:lang w:val="en-US" w:eastAsia="zh-CN" w:bidi="ar-SA"/>
        </w:rPr>
        <w:t>本年</w:t>
      </w:r>
      <w:r>
        <w:rPr>
          <w:rFonts w:hint="eastAsia" w:ascii="仿宋_GB2312" w:hAnsi="仿宋_GB2312" w:eastAsia="仿宋_GB2312" w:cs="仿宋_GB2312"/>
          <w:color w:val="000000"/>
          <w:sz w:val="32"/>
          <w:szCs w:val="32"/>
          <w:shd w:val="clear" w:color="auto" w:fill="FFFFFF"/>
          <w:lang w:val="en-US" w:eastAsia="zh-CN" w:bidi="ar-SA"/>
        </w:rPr>
        <w:t xml:space="preserve">按有关规定继续使用的资金。 </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7.结余分配：指事业单位按照会计制度规定缴纳的所得税、提取的专用结余以及转入非财政拨款结余的金额等。</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8.年末结转和结余：指单位按有关规定结转到下年或以后年度继续使用的资金。</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9.一般公共服务支出（类）人大事务（款）行政运行（项）：指反映行政单位（包括实行公务员管理的事业单位）的基本支出。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10.一般公共服务支出（类）人大事务（款）一般行政管理事务（项）：指反映行政单位（包括实行公务员管理的事业单位）未单独设置项级科目的其他项目支出。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11.一般公共服务支出（类）政府办公厅（室）及相关机构事务（款）行政运行（项）：指反映行政单位（包括实行公务员管理的事业单位）的基本支出。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12.一般公共服务支出（类）政府办公厅（室）及相关机构事务（款）一般行政管理事务（项）：指反映行政单位（包括实行公务员管理的事业单位）未单独设置项级科目的其他项目支出。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13.一般公共服务支出（类）政府办公厅（室）及相关机构事务（款）信访事务（项）：指反映各级政府用于接待群众来信来访方面的支出。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14.一般公共服务支出（类）政府办公厅（室）及相关机构事务（款）事业运行（项）：指反映事业单位的基本支出，不包括行政单位（包括实行公务员管理的事业单位</w:t>
      </w:r>
      <w:r>
        <w:rPr>
          <w:rFonts w:hint="eastAsia" w:ascii="仿宋_GB2312" w:hAnsi="仿宋_GB2312" w:eastAsia="仿宋_GB2312" w:cs="仿宋_GB2312"/>
          <w:color w:val="000000"/>
          <w:sz w:val="32"/>
          <w:szCs w:val="32"/>
          <w:u w:val="none" w:color="FFFFFF"/>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en-US" w:eastAsia="zh-CN" w:bidi="ar-SA"/>
        </w:rPr>
        <w:t>后勤服务中心、医务室等附属事业单位。</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15.一般公共服务支出（类）财政事务（款）行政运行（项）：指反映行政单位（包括实行公务员管理的事业单位）的基本支出。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16.一般公共服务支出（类）财政事务（款）事业运行（项）：指反映事业单位的基本支出，不包括行政单位（包括实行公务员管理的事业单位</w:t>
      </w:r>
      <w:r>
        <w:rPr>
          <w:rFonts w:hint="eastAsia" w:ascii="仿宋_GB2312" w:hAnsi="仿宋_GB2312" w:eastAsia="仿宋_GB2312" w:cs="仿宋_GB2312"/>
          <w:color w:val="000000"/>
          <w:sz w:val="32"/>
          <w:szCs w:val="32"/>
          <w:u w:val="none" w:color="FFFFFF"/>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en-US" w:eastAsia="zh-CN" w:bidi="ar-SA"/>
        </w:rPr>
        <w:t>后勤服务中心、医务室等附属事业单位。</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17.一般公共服务支出（类）纪检监察事务（款）行政运行（项）：指反映行政单位（包括实行公务员管理的事业单位）的基本支出。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18.一般公共服务支出（类）纪检监察事务（款）其他纪检监察事务支出（项）：指除该款内其他项目以外的其他纪检监察事务方面的支出。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19.一般公共服务支出（类）党委办公厅（室）及相关机构事务（款）行政运行（项）：指反映行政单位（包括实行公务员管理的事业单位）的基本支出。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20.社会保障和就业支出（类）人力资源和社会保障管理事务（款）社会保险经办机构（项）：指反映社会保险经办机构开展业务工作的支出。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21.社会保障和就业支出（类）行政事业单位养老支出（款）机关事业单位基本养老保险缴费支出（项）：指反映机关事业单位实施养老保险制度由单位缴纳的基本养老保险费支出。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22.社会保障和就业支出（类）行政事业单位养老支出（款）机关事业单位职业年金缴费支出（项）：指反映机关事业单位实施养老保险</w:t>
      </w:r>
      <w:r>
        <w:rPr>
          <w:rFonts w:hint="eastAsia" w:ascii="仿宋_GB2312" w:hAnsi="仿宋_GB2312" w:eastAsia="仿宋_GB2312" w:cs="仿宋_GB2312"/>
          <w:color w:val="000000"/>
          <w:sz w:val="32"/>
          <w:szCs w:val="32"/>
          <w:u w:val="none" w:color="FFFFFF"/>
          <w:shd w:val="clear" w:color="auto" w:fill="FFFFFF"/>
          <w:lang w:val="en-US" w:eastAsia="zh-CN" w:bidi="ar-SA"/>
        </w:rPr>
        <w:t>制度并</w:t>
      </w:r>
      <w:r>
        <w:rPr>
          <w:rFonts w:hint="eastAsia" w:ascii="仿宋_GB2312" w:hAnsi="仿宋_GB2312" w:eastAsia="仿宋_GB2312" w:cs="仿宋_GB2312"/>
          <w:color w:val="000000"/>
          <w:sz w:val="32"/>
          <w:szCs w:val="32"/>
          <w:shd w:val="clear" w:color="auto" w:fill="FFFFFF"/>
          <w:lang w:val="en-US" w:eastAsia="zh-CN" w:bidi="ar-SA"/>
        </w:rPr>
        <w:t>由单位实际缴纳的职业年金支出。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u w:val="none" w:color="FFFFFF"/>
          <w:shd w:val="clear" w:color="auto" w:fill="FFFFFF"/>
          <w:lang w:val="en-US" w:eastAsia="zh-CN" w:bidi="ar-SA"/>
        </w:rPr>
        <w:t>23.卫生健康支出（类）公共卫生（款）突发公共卫生事件应急处理（项）：指反映用于突发公共卫生事件应急处理的支出。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24.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25.卫生健康支出（类）行政事业单位医疗（款）事业单位医疗（项）：指反映财政部门安排的事业单位基本医疗保险缴费经费，未参加医疗保险的事业单位的公费医疗经费，按国家规定享受离休人员待遇的医疗经费。</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26.卫生健康支出（类）行政事业单位医疗（款）公务员医疗补助（项）：指反映财政部门安排的公务员医疗补助经费。</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27.卫生健康支出（类）行政事业单位医疗（款）其他行政事业单位医疗支出（项）：指反映除上述项目以外的其他用于行政事业单位医疗方面的支出。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28.农林水支出（类）农业农村（款）事业运行（项）：指反映用于农业事业单位基本支出，事业单位设施、系统运行与资产维护等方面的支出。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29.农林水支出（类）巩固脱贫衔接乡村振兴（款）农村基础设施建设（项）：指反映用于农村欠发达地区乡村道路、住房、基本农田、水利设施、人畜饮水、生态环境保护等生产生活条件改善方面的支出。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30.农林水支出（类）巩固脱贫衔接乡村振兴（款）生产</w:t>
      </w:r>
      <w:r>
        <w:rPr>
          <w:rFonts w:hint="eastAsia" w:ascii="仿宋_GB2312" w:hAnsi="仿宋_GB2312" w:eastAsia="仿宋_GB2312" w:cs="仿宋_GB2312"/>
          <w:color w:val="000000"/>
          <w:sz w:val="32"/>
          <w:szCs w:val="32"/>
          <w:u w:val="none" w:color="FFFFFF"/>
          <w:shd w:val="clear" w:color="auto" w:fill="FFFFFF"/>
          <w:lang w:val="en-US" w:eastAsia="zh-CN" w:bidi="ar-SA"/>
        </w:rPr>
        <w:t>发展</w:t>
      </w:r>
      <w:r>
        <w:rPr>
          <w:rFonts w:hint="eastAsia" w:ascii="仿宋_GB2312" w:hAnsi="仿宋_GB2312" w:eastAsia="仿宋_GB2312" w:cs="仿宋_GB2312"/>
          <w:color w:val="000000"/>
          <w:sz w:val="32"/>
          <w:szCs w:val="32"/>
          <w:shd w:val="clear" w:color="auto" w:fill="FFFFFF"/>
          <w:lang w:val="en-US" w:eastAsia="zh-CN" w:bidi="ar-SA"/>
        </w:rPr>
        <w:t>（项）：指反映用于农村欠发达地区发展种植业、养殖业、畜牧业、农副产品</w:t>
      </w:r>
      <w:r>
        <w:rPr>
          <w:rFonts w:hint="eastAsia" w:ascii="仿宋_GB2312" w:hAnsi="仿宋_GB2312" w:eastAsia="仿宋_GB2312" w:cs="仿宋_GB2312"/>
          <w:color w:val="000000"/>
          <w:sz w:val="32"/>
          <w:szCs w:val="32"/>
          <w:u w:val="none" w:color="FFFFFF"/>
          <w:shd w:val="clear" w:color="auto" w:fill="FFFFFF"/>
          <w:lang w:val="en-US" w:eastAsia="zh-CN" w:bidi="ar-SA"/>
        </w:rPr>
        <w:t>加工业</w:t>
      </w:r>
      <w:r>
        <w:rPr>
          <w:rFonts w:hint="eastAsia" w:ascii="仿宋_GB2312" w:hAnsi="仿宋_GB2312" w:eastAsia="仿宋_GB2312" w:cs="仿宋_GB2312"/>
          <w:color w:val="000000"/>
          <w:sz w:val="32"/>
          <w:szCs w:val="32"/>
          <w:shd w:val="clear" w:color="auto" w:fill="FFFFFF"/>
          <w:lang w:val="en-US" w:eastAsia="zh-CN" w:bidi="ar-SA"/>
        </w:rPr>
        <w:t>、</w:t>
      </w:r>
      <w:r>
        <w:rPr>
          <w:rFonts w:hint="eastAsia" w:ascii="仿宋_GB2312" w:hAnsi="仿宋_GB2312" w:eastAsia="仿宋_GB2312" w:cs="仿宋_GB2312"/>
          <w:color w:val="000000"/>
          <w:sz w:val="32"/>
          <w:szCs w:val="32"/>
          <w:u w:val="none" w:color="FFFFFF"/>
          <w:shd w:val="clear" w:color="auto" w:fill="FFFFFF"/>
          <w:lang w:val="en-US" w:eastAsia="zh-CN" w:bidi="ar-SA"/>
        </w:rPr>
        <w:t>林果基</w:t>
      </w:r>
      <w:r>
        <w:rPr>
          <w:rFonts w:hint="eastAsia" w:ascii="仿宋_GB2312" w:hAnsi="仿宋_GB2312" w:eastAsia="仿宋_GB2312" w:cs="仿宋_GB2312"/>
          <w:color w:val="000000"/>
          <w:sz w:val="32"/>
          <w:szCs w:val="32"/>
          <w:shd w:val="clear" w:color="auto" w:fill="FFFFFF"/>
          <w:lang w:val="en-US" w:eastAsia="zh-CN" w:bidi="ar-SA"/>
        </w:rPr>
        <w:t>地建设等生产发展项目以及相关技术推广等方面的项目支出。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31.农林水支出（类）巩固脱贫衔接乡村振兴（款）其他巩固脱贫衔接乡村振兴支出（项）：指反映除上述项目以外其他用于巩固拓展脱贫攻坚成果同乡村振兴有效衔接方面的支出。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32.农林水支出（类）农村综合改革（款）对村民委员会和村党支部的补助（项）：指反映各级财政对村民委员会和村党支部的补助支出，以及支持建立县级基本财力保障机制安排的村级组织运转奖补资金。</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33.农林水支出（类）农村综合改革（款）对村集体经济组织的补助（项）：指反映农村税费改革后对村集体经济组织的补助支出。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34.住房保障支出（类）保障性安居工程支出（款）农村危房改造（项）：指反映用于农村危房改造方面的支出。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35.住房保障支出（类）住房改革支出（款）住房公积金（项）：指反映行政事业单位按人力资源和社会保障部、财政部规定的基本工资和津</w:t>
      </w:r>
      <w:r>
        <w:rPr>
          <w:rFonts w:hint="eastAsia" w:ascii="仿宋_GB2312" w:hAnsi="仿宋_GB2312" w:eastAsia="仿宋_GB2312" w:cs="仿宋_GB2312"/>
          <w:color w:val="000000"/>
          <w:sz w:val="32"/>
          <w:szCs w:val="32"/>
          <w:u w:val="none" w:color="FFFFFF"/>
          <w:shd w:val="clear" w:color="auto" w:fill="FFFFFF"/>
          <w:lang w:val="en-US" w:eastAsia="zh-CN" w:bidi="ar-SA"/>
        </w:rPr>
        <w:t>贴</w:t>
      </w:r>
      <w:r>
        <w:rPr>
          <w:rFonts w:hint="eastAsia" w:ascii="仿宋_GB2312" w:hAnsi="仿宋_GB2312" w:eastAsia="仿宋_GB2312" w:cs="仿宋_GB2312"/>
          <w:color w:val="000000"/>
          <w:sz w:val="32"/>
          <w:szCs w:val="32"/>
          <w:shd w:val="clear" w:color="auto" w:fill="FFFFFF"/>
          <w:lang w:val="en-US" w:eastAsia="zh-CN" w:bidi="ar-SA"/>
        </w:rPr>
        <w:t>补贴以及规定比例为职工缴纳的住房公积金。</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36.灾害防治及应急管理支出（类）自然灾害救灾及恢复重建支出（款）自然灾害救灾补助（项）：指反映用于应对重大自然灾害应急救援和受灾群众救助的支出。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37.基本支出：指为保障机构正常运转、完成日常工作任务而发生的人员支出和公用支出。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38.项目支出：指在基本支出之</w:t>
      </w:r>
      <w:r>
        <w:rPr>
          <w:rFonts w:hint="eastAsia" w:ascii="仿宋_GB2312" w:hAnsi="仿宋_GB2312" w:eastAsia="仿宋_GB2312" w:cs="仿宋_GB2312"/>
          <w:color w:val="000000"/>
          <w:sz w:val="32"/>
          <w:szCs w:val="32"/>
          <w:u w:val="none" w:color="FFFFFF"/>
          <w:shd w:val="clear" w:color="auto" w:fill="FFFFFF"/>
          <w:lang w:val="en-US" w:eastAsia="zh-CN" w:bidi="ar-SA"/>
        </w:rPr>
        <w:t>外</w:t>
      </w:r>
      <w:r>
        <w:rPr>
          <w:rFonts w:hint="eastAsia" w:ascii="仿宋_GB2312" w:hAnsi="仿宋_GB2312" w:eastAsia="仿宋_GB2312" w:cs="仿宋_GB2312"/>
          <w:color w:val="000000"/>
          <w:sz w:val="32"/>
          <w:szCs w:val="32"/>
          <w:shd w:val="clear" w:color="auto" w:fill="FFFFFF"/>
          <w:lang w:val="en-US" w:eastAsia="zh-CN" w:bidi="ar-SA"/>
        </w:rPr>
        <w:t xml:space="preserve">为完成特定行政任务和事业发展目标所发生的支出。 </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39.经营支出：指事业单位在专业业务活动及其辅助活动之外开展非独立核算经营活动发生的支出。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40.“三公”经费：指部门用财政拨款安排的因公出国（境）费、公务用车购置及运行费和公务接待费。</w:t>
      </w:r>
      <w:r>
        <w:rPr>
          <w:rFonts w:hint="eastAsia" w:ascii="仿宋_GB2312" w:hAnsi="仿宋_GB2312" w:eastAsia="仿宋_GB2312" w:cs="仿宋_GB2312"/>
          <w:color w:val="000000"/>
          <w:sz w:val="32"/>
          <w:szCs w:val="32"/>
          <w:u w:val="none" w:color="FFFFFF"/>
          <w:shd w:val="clear" w:color="auto" w:fill="FFFFFF"/>
          <w:lang w:val="en-US" w:eastAsia="zh-CN" w:bidi="ar-SA"/>
        </w:rPr>
        <w:t>其中，因公出国（境）费反映单位公务出国（境）的国际旅费、国外城市间交通费、住宿费、伙食费、培训费、公杂费等支出；</w:t>
      </w:r>
      <w:r>
        <w:rPr>
          <w:rFonts w:hint="eastAsia" w:ascii="仿宋_GB2312" w:hAnsi="仿宋_GB2312" w:eastAsia="仿宋_GB2312" w:cs="仿宋_GB2312"/>
          <w:color w:val="000000"/>
          <w:sz w:val="32"/>
          <w:szCs w:val="32"/>
          <w:shd w:val="clear" w:color="auto" w:fill="FFFFFF"/>
          <w:lang w:val="en-US" w:eastAsia="zh-CN" w:bidi="ar-SA"/>
        </w:rPr>
        <w:t>公务用车购置及运行费反映单位公务用车车辆购置支出（含车辆购置税）及租用费、燃料费、维修费、过路过桥费、保险费等支出；公务接待费反映单位按规定开支的各类公务接待（含外宾接待）支出。</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41.机关运行经费：为保障行政单位（含参照公务员法管理的事业单位）运行用于购买货物和服务的各项资金，包括办公及印刷费、邮电费、差旅费、会议费、福利费、日常维修费、专用</w:t>
      </w:r>
      <w:r>
        <w:rPr>
          <w:rFonts w:hint="eastAsia" w:ascii="仿宋_GB2312" w:hAnsi="仿宋_GB2312" w:eastAsia="仿宋_GB2312" w:cs="仿宋_GB2312"/>
          <w:color w:val="000000"/>
          <w:sz w:val="32"/>
          <w:szCs w:val="32"/>
          <w:u w:val="none" w:color="FFFFFF"/>
          <w:shd w:val="clear" w:color="auto" w:fill="FFFFFF"/>
          <w:lang w:val="en-US" w:eastAsia="zh-CN" w:bidi="ar-SA"/>
        </w:rPr>
        <w:t>材料</w:t>
      </w:r>
      <w:r>
        <w:rPr>
          <w:rFonts w:hint="eastAsia" w:ascii="仿宋_GB2312" w:hAnsi="仿宋_GB2312" w:eastAsia="仿宋_GB2312" w:cs="仿宋_GB2312"/>
          <w:color w:val="000000"/>
          <w:sz w:val="32"/>
          <w:szCs w:val="32"/>
          <w:shd w:val="clear" w:color="auto" w:fill="FFFFFF"/>
          <w:lang w:val="en-US" w:eastAsia="zh-CN" w:bidi="ar-SA"/>
        </w:rPr>
        <w:t>及一般设备购置费、办公用房水电费、办公用房取暖费、办公用房物业管理费、公务用车运行维护费以及其他费用。</w:t>
      </w:r>
    </w:p>
    <w:p>
      <w:pPr>
        <w:widowControl/>
        <w:autoSpaceDE/>
        <w:autoSpaceDN/>
        <w:snapToGrid w:val="0"/>
        <w:spacing w:line="576"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pStyle w:val="2"/>
        <w:rPr>
          <w:rFonts w:hint="eastAsia" w:ascii="仿宋_GB2312" w:hAnsi="仿宋_GB2312" w:eastAsia="仿宋_GB2312" w:cs="仿宋_GB2312"/>
          <w:color w:val="000000"/>
          <w:sz w:val="32"/>
          <w:szCs w:val="32"/>
          <w:shd w:val="clear" w:color="auto" w:fill="FFFFFF"/>
          <w:lang w:val="zh-CN" w:eastAsia="zh-CN" w:bidi="ar-SA"/>
        </w:rPr>
      </w:pPr>
    </w:p>
    <w:p>
      <w:pPr>
        <w:numPr>
          <w:ilvl w:val="0"/>
          <w:numId w:val="1"/>
        </w:numPr>
        <w:jc w:val="center"/>
        <w:outlineLvl w:val="0"/>
        <w:rPr>
          <w:rFonts w:hint="eastAsia" w:ascii="Times New Roman" w:hAnsi="Times New Roman" w:eastAsia="黑体" w:cs="Times New Roman"/>
          <w:sz w:val="44"/>
          <w:szCs w:val="36"/>
          <w:lang w:val="en-US"/>
        </w:rPr>
      </w:pPr>
      <w:bookmarkStart w:id="100" w:name="_Toc26325"/>
      <w:bookmarkStart w:id="101" w:name="_Toc26414"/>
      <w:bookmarkStart w:id="102" w:name="_Toc6937"/>
      <w:r>
        <w:rPr>
          <w:rFonts w:hint="eastAsia" w:ascii="Times New Roman" w:hAnsi="Times New Roman" w:eastAsia="黑体" w:cs="Times New Roman"/>
          <w:sz w:val="44"/>
          <w:szCs w:val="36"/>
          <w:lang w:val="en-US"/>
        </w:rPr>
        <w:t xml:space="preserve"> </w:t>
      </w:r>
      <w:bookmarkStart w:id="103" w:name="_Toc31870"/>
      <w:r>
        <w:rPr>
          <w:rFonts w:hint="eastAsia" w:ascii="Times New Roman" w:hAnsi="Times New Roman" w:eastAsia="黑体" w:cs="Times New Roman"/>
          <w:sz w:val="44"/>
          <w:szCs w:val="36"/>
          <w:lang w:val="en-US"/>
        </w:rPr>
        <w:t>附件</w:t>
      </w:r>
      <w:bookmarkEnd w:id="100"/>
      <w:bookmarkEnd w:id="101"/>
      <w:bookmarkEnd w:id="102"/>
      <w:bookmarkEnd w:id="103"/>
    </w:p>
    <w:p>
      <w:pPr>
        <w:rPr>
          <w:rFonts w:hint="default"/>
          <w:sz w:val="32"/>
          <w:szCs w:val="24"/>
          <w:lang w:val="en-US" w:eastAsia="zh-CN"/>
        </w:rPr>
      </w:pPr>
      <w:bookmarkStart w:id="104" w:name="_Toc30750"/>
      <w:bookmarkStart w:id="105" w:name="_Toc18660"/>
      <w:bookmarkStart w:id="106" w:name="_Toc5186"/>
      <w:r>
        <w:rPr>
          <w:rFonts w:hint="eastAsia" w:ascii="Times New Roman" w:hAnsi="Times New Roman" w:eastAsia="黑体"/>
          <w:sz w:val="32"/>
          <w:szCs w:val="24"/>
          <w:lang w:val="zh-CN" w:eastAsia="zh-CN"/>
        </w:rPr>
        <w:t>附件</w:t>
      </w:r>
      <w:r>
        <w:rPr>
          <w:rFonts w:hint="eastAsia" w:ascii="Times New Roman" w:hAnsi="Times New Roman" w:eastAsia="黑体"/>
          <w:sz w:val="32"/>
          <w:szCs w:val="24"/>
          <w:lang w:val="en-US" w:eastAsia="zh-CN"/>
        </w:rPr>
        <w:t>1</w:t>
      </w:r>
      <w:bookmarkEnd w:id="104"/>
    </w:p>
    <w:p>
      <w:pPr>
        <w:jc w:val="center"/>
        <w:rPr>
          <w:rFonts w:hint="eastAsia" w:ascii="Times New Roman" w:hAnsi="Times New Roman" w:eastAsia="黑体"/>
          <w:sz w:val="32"/>
          <w:szCs w:val="24"/>
          <w:lang w:val="en-US" w:eastAsia="zh-CN"/>
        </w:rPr>
      </w:pPr>
      <w:bookmarkStart w:id="107" w:name="_Toc19207"/>
      <w:r>
        <w:rPr>
          <w:rFonts w:hint="eastAsia" w:ascii="Times New Roman" w:hAnsi="Times New Roman" w:eastAsia="黑体"/>
          <w:sz w:val="32"/>
          <w:szCs w:val="24"/>
          <w:lang w:val="zh-CN" w:eastAsia="zh-CN"/>
        </w:rPr>
        <w:t>通江县</w:t>
      </w:r>
      <w:r>
        <w:rPr>
          <w:rFonts w:hint="eastAsia" w:ascii="Times New Roman" w:hAnsi="Times New Roman" w:eastAsia="黑体"/>
          <w:sz w:val="32"/>
          <w:szCs w:val="24"/>
          <w:lang w:val="en-US" w:eastAsia="zh-CN"/>
        </w:rPr>
        <w:t>板桥口镇人民政府</w:t>
      </w:r>
      <w:bookmarkEnd w:id="105"/>
      <w:bookmarkEnd w:id="106"/>
      <w:bookmarkEnd w:id="107"/>
    </w:p>
    <w:p>
      <w:pPr>
        <w:jc w:val="center"/>
        <w:rPr>
          <w:rFonts w:hint="eastAsia" w:ascii="黑体" w:hAnsi="黑体" w:eastAsia="黑体"/>
          <w:color w:val="auto"/>
          <w:sz w:val="32"/>
          <w:szCs w:val="24"/>
          <w:lang w:val="en-US"/>
        </w:rPr>
      </w:pPr>
      <w:bookmarkStart w:id="108" w:name="_Toc17554"/>
      <w:bookmarkStart w:id="109" w:name="_Toc24731"/>
      <w:bookmarkStart w:id="110" w:name="_Toc31824"/>
      <w:r>
        <w:rPr>
          <w:rFonts w:hint="eastAsia" w:ascii="Times New Roman" w:hAnsi="Times New Roman" w:eastAsia="黑体"/>
          <w:sz w:val="32"/>
          <w:szCs w:val="24"/>
          <w:lang w:val="en-US" w:eastAsia="zh-CN"/>
        </w:rPr>
        <w:t>2022年政府整体支出</w:t>
      </w:r>
      <w:r>
        <w:rPr>
          <w:rFonts w:hint="eastAsia" w:ascii="Times New Roman" w:hAnsi="Times New Roman" w:eastAsia="黑体"/>
          <w:sz w:val="32"/>
          <w:szCs w:val="24"/>
          <w:lang w:val="zh-CN" w:eastAsia="zh-CN"/>
        </w:rPr>
        <w:t>绩效目标自评报告</w:t>
      </w:r>
      <w:bookmarkEnd w:id="108"/>
      <w:bookmarkEnd w:id="109"/>
      <w:bookmarkEnd w:id="110"/>
    </w:p>
    <w:p>
      <w:pPr>
        <w:spacing w:line="560" w:lineRule="exact"/>
        <w:ind w:firstLine="640" w:firstLineChars="200"/>
        <w:rPr>
          <w:rFonts w:hint="eastAsia" w:ascii="Times New Roman" w:hAnsi="Times New Roman" w:eastAsia="楷体"/>
          <w:sz w:val="32"/>
          <w:szCs w:val="24"/>
          <w:lang w:val="zh-CN"/>
        </w:rPr>
      </w:pPr>
      <w:bookmarkStart w:id="111" w:name="_Toc1381"/>
      <w:bookmarkStart w:id="112" w:name="_Toc29337"/>
      <w:bookmarkStart w:id="113" w:name="_Toc27461"/>
      <w:r>
        <w:rPr>
          <w:rFonts w:hint="eastAsia" w:ascii="Times New Roman" w:hAnsi="Times New Roman" w:eastAsia="楷体"/>
          <w:sz w:val="32"/>
          <w:szCs w:val="24"/>
          <w:lang w:val="en-US"/>
        </w:rPr>
        <w:t>一、</w:t>
      </w:r>
      <w:r>
        <w:rPr>
          <w:rFonts w:hint="eastAsia" w:ascii="Times New Roman" w:hAnsi="Times New Roman" w:eastAsia="楷体"/>
          <w:sz w:val="32"/>
          <w:szCs w:val="24"/>
          <w:lang w:val="zh-CN"/>
        </w:rPr>
        <w:t>部门（单位）基本情况</w:t>
      </w:r>
      <w:bookmarkEnd w:id="111"/>
      <w:bookmarkEnd w:id="112"/>
      <w:bookmarkEnd w:id="113"/>
    </w:p>
    <w:p>
      <w:pPr>
        <w:spacing w:line="560" w:lineRule="exact"/>
        <w:ind w:firstLine="640" w:firstLineChars="200"/>
        <w:rPr>
          <w:rFonts w:hint="eastAsia" w:ascii="Times New Roman" w:hAnsi="Times New Roman" w:eastAsia="仿宋_GB2312"/>
          <w:sz w:val="32"/>
          <w:szCs w:val="24"/>
          <w:lang w:val="zh-CN"/>
        </w:rPr>
      </w:pPr>
      <w:bookmarkStart w:id="114" w:name="_Toc8822"/>
      <w:bookmarkStart w:id="115" w:name="_Toc30055"/>
      <w:r>
        <w:rPr>
          <w:rFonts w:hint="eastAsia" w:ascii="Times New Roman" w:hAnsi="Times New Roman" w:eastAsia="仿宋_GB2312"/>
          <w:sz w:val="32"/>
          <w:szCs w:val="24"/>
          <w:lang w:val="zh-CN"/>
        </w:rPr>
        <w:t>（一）机构组成。</w:t>
      </w:r>
      <w:bookmarkEnd w:id="114"/>
      <w:bookmarkEnd w:id="115"/>
    </w:p>
    <w:p>
      <w:pPr>
        <w:widowControl/>
        <w:autoSpaceDE/>
        <w:autoSpaceDN/>
        <w:snapToGrid w:val="0"/>
        <w:spacing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全镇所辖</w:t>
      </w:r>
      <w:r>
        <w:rPr>
          <w:rFonts w:hint="eastAsia" w:ascii="仿宋" w:hAnsi="仿宋" w:eastAsia="仿宋" w:cs="仿宋"/>
          <w:color w:val="000000"/>
          <w:sz w:val="32"/>
          <w:szCs w:val="32"/>
          <w:shd w:val="clear" w:color="auto" w:fill="FFFFFF"/>
          <w:lang w:val="en-US" w:eastAsia="zh-CN" w:bidi="ar-SA"/>
        </w:rPr>
        <w:t>4</w:t>
      </w:r>
      <w:r>
        <w:rPr>
          <w:rFonts w:hint="eastAsia" w:ascii="仿宋" w:hAnsi="仿宋" w:eastAsia="仿宋" w:cs="仿宋"/>
          <w:color w:val="000000"/>
          <w:sz w:val="32"/>
          <w:szCs w:val="32"/>
          <w:shd w:val="clear" w:color="auto" w:fill="FFFFFF"/>
          <w:lang w:val="zh-CN" w:eastAsia="zh-CN" w:bidi="ar-SA"/>
        </w:rPr>
        <w:t>个预算单位：通江县板桥口镇人民政府（本级）、通江县板桥口镇正文小学、通江县板桥口镇砥坝中心小学、通江县板桥口镇卫生院。</w:t>
      </w:r>
    </w:p>
    <w:p>
      <w:pPr>
        <w:widowControl/>
        <w:autoSpaceDE/>
        <w:autoSpaceDN/>
        <w:snapToGrid w:val="0"/>
        <w:spacing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独立编制机构数</w:t>
      </w:r>
      <w:r>
        <w:rPr>
          <w:rFonts w:hint="eastAsia" w:ascii="仿宋" w:hAnsi="仿宋" w:eastAsia="仿宋" w:cs="仿宋"/>
          <w:color w:val="000000"/>
          <w:sz w:val="32"/>
          <w:szCs w:val="32"/>
          <w:shd w:val="clear" w:color="auto" w:fill="FFFFFF"/>
          <w:lang w:val="en-US" w:eastAsia="zh-CN" w:bidi="ar-SA"/>
        </w:rPr>
        <w:t>13</w:t>
      </w:r>
      <w:r>
        <w:rPr>
          <w:rFonts w:hint="eastAsia" w:ascii="仿宋" w:hAnsi="仿宋" w:eastAsia="仿宋" w:cs="仿宋"/>
          <w:color w:val="000000"/>
          <w:sz w:val="32"/>
          <w:szCs w:val="32"/>
          <w:shd w:val="clear" w:color="auto" w:fill="FFFFFF"/>
          <w:lang w:val="zh-CN" w:eastAsia="zh-CN" w:bidi="ar-SA"/>
        </w:rPr>
        <w:t>个，其中：政府办公厅（室）及相关</w:t>
      </w:r>
      <w:r>
        <w:rPr>
          <w:rFonts w:hint="eastAsia" w:ascii="仿宋" w:hAnsi="仿宋" w:eastAsia="仿宋" w:cs="仿宋"/>
          <w:color w:val="000000"/>
          <w:sz w:val="32"/>
          <w:szCs w:val="32"/>
          <w:u w:val="none" w:color="FFFFFF"/>
          <w:shd w:val="clear" w:color="auto" w:fill="FFFFFF"/>
          <w:lang w:val="zh-CN" w:eastAsia="zh-CN" w:bidi="ar-SA"/>
        </w:rPr>
        <w:t>事务机构</w:t>
      </w:r>
      <w:r>
        <w:rPr>
          <w:rFonts w:hint="eastAsia" w:ascii="仿宋" w:hAnsi="仿宋" w:eastAsia="仿宋" w:cs="仿宋"/>
          <w:color w:val="000000"/>
          <w:sz w:val="32"/>
          <w:szCs w:val="32"/>
          <w:shd w:val="clear" w:color="auto" w:fill="FFFFFF"/>
          <w:lang w:val="en-US" w:eastAsia="zh-CN" w:bidi="ar-SA"/>
        </w:rPr>
        <w:t>10</w:t>
      </w:r>
      <w:r>
        <w:rPr>
          <w:rFonts w:hint="eastAsia" w:ascii="仿宋" w:hAnsi="仿宋" w:eastAsia="仿宋" w:cs="仿宋"/>
          <w:color w:val="000000"/>
          <w:sz w:val="32"/>
          <w:szCs w:val="32"/>
          <w:shd w:val="clear" w:color="auto" w:fill="FFFFFF"/>
          <w:lang w:val="zh-CN" w:eastAsia="zh-CN" w:bidi="ar-SA"/>
        </w:rPr>
        <w:t>个，教育支出</w:t>
      </w:r>
      <w:r>
        <w:rPr>
          <w:rFonts w:hint="eastAsia" w:ascii="仿宋" w:hAnsi="仿宋" w:eastAsia="仿宋" w:cs="仿宋"/>
          <w:color w:val="000000"/>
          <w:sz w:val="32"/>
          <w:szCs w:val="32"/>
          <w:shd w:val="clear" w:color="auto" w:fill="FFFFFF"/>
          <w:lang w:val="en-US" w:eastAsia="zh-CN" w:bidi="ar-SA"/>
        </w:rPr>
        <w:t>2</w:t>
      </w:r>
      <w:r>
        <w:rPr>
          <w:rFonts w:hint="eastAsia" w:ascii="仿宋" w:hAnsi="仿宋" w:eastAsia="仿宋" w:cs="仿宋"/>
          <w:color w:val="000000"/>
          <w:sz w:val="32"/>
          <w:szCs w:val="32"/>
          <w:shd w:val="clear" w:color="auto" w:fill="FFFFFF"/>
          <w:lang w:val="zh-CN" w:eastAsia="zh-CN" w:bidi="ar-SA"/>
        </w:rPr>
        <w:t>个，卫生健康支出1个。</w:t>
      </w:r>
    </w:p>
    <w:p>
      <w:pPr>
        <w:widowControl/>
        <w:autoSpaceDE/>
        <w:autoSpaceDN/>
        <w:snapToGrid w:val="0"/>
        <w:spacing w:line="560" w:lineRule="exact"/>
        <w:ind w:firstLine="640" w:firstLineChars="200"/>
        <w:rPr>
          <w:rFonts w:hint="default"/>
          <w:sz w:val="30"/>
          <w:szCs w:val="24"/>
          <w:lang w:val="zh-CN"/>
        </w:rPr>
      </w:pPr>
      <w:r>
        <w:rPr>
          <w:rFonts w:hint="eastAsia" w:ascii="仿宋" w:hAnsi="仿宋" w:eastAsia="仿宋" w:cs="仿宋"/>
          <w:color w:val="000000"/>
          <w:sz w:val="32"/>
          <w:szCs w:val="32"/>
          <w:u w:val="thick" w:color="98967F"/>
          <w:shd w:val="clear" w:color="auto" w:fill="FFFFFF"/>
          <w:lang w:val="zh-CN" w:eastAsia="zh-CN" w:bidi="ar-SA"/>
        </w:rPr>
        <w:t>独立核算单位</w:t>
      </w:r>
      <w:r>
        <w:rPr>
          <w:rFonts w:hint="eastAsia" w:ascii="仿宋" w:hAnsi="仿宋" w:eastAsia="仿宋" w:cs="仿宋"/>
          <w:color w:val="000000"/>
          <w:sz w:val="32"/>
          <w:szCs w:val="32"/>
          <w:u w:val="thick" w:color="98967F"/>
          <w:shd w:val="clear" w:color="auto" w:fill="FFFFFF"/>
          <w:lang w:val="en-US" w:eastAsia="zh-CN" w:bidi="ar-SA"/>
        </w:rPr>
        <w:t>5</w:t>
      </w:r>
      <w:r>
        <w:rPr>
          <w:rFonts w:hint="eastAsia" w:ascii="仿宋" w:hAnsi="仿宋" w:eastAsia="仿宋" w:cs="仿宋"/>
          <w:color w:val="000000"/>
          <w:sz w:val="32"/>
          <w:szCs w:val="32"/>
          <w:u w:val="thick" w:color="98967F"/>
          <w:shd w:val="clear" w:color="auto" w:fill="FFFFFF"/>
          <w:lang w:val="zh-CN" w:eastAsia="zh-CN" w:bidi="ar-SA"/>
        </w:rPr>
        <w:t>个，其中：政府办公厅（室）及相关机构事务2个，教育支出</w:t>
      </w:r>
      <w:r>
        <w:rPr>
          <w:rFonts w:hint="eastAsia" w:ascii="仿宋" w:hAnsi="仿宋" w:eastAsia="仿宋" w:cs="仿宋"/>
          <w:color w:val="000000"/>
          <w:sz w:val="32"/>
          <w:szCs w:val="32"/>
          <w:u w:val="thick" w:color="98967F"/>
          <w:shd w:val="clear" w:color="auto" w:fill="FFFFFF"/>
          <w:lang w:val="en-US" w:eastAsia="zh-CN" w:bidi="ar-SA"/>
        </w:rPr>
        <w:t>1</w:t>
      </w:r>
      <w:r>
        <w:rPr>
          <w:rFonts w:hint="eastAsia" w:ascii="仿宋" w:hAnsi="仿宋" w:eastAsia="仿宋" w:cs="仿宋"/>
          <w:color w:val="000000"/>
          <w:sz w:val="32"/>
          <w:szCs w:val="32"/>
          <w:u w:val="thick" w:color="98967F"/>
          <w:shd w:val="clear" w:color="auto" w:fill="FFFFFF"/>
          <w:lang w:val="zh-CN" w:eastAsia="zh-CN" w:bidi="ar-SA"/>
        </w:rPr>
        <w:t>个，卫生健康支出1个</w:t>
      </w:r>
    </w:p>
    <w:p>
      <w:pPr>
        <w:numPr>
          <w:ilvl w:val="0"/>
          <w:numId w:val="0"/>
        </w:numPr>
        <w:spacing w:line="560" w:lineRule="exact"/>
        <w:ind w:firstLine="640" w:firstLineChars="200"/>
        <w:rPr>
          <w:rFonts w:hint="eastAsia" w:ascii="Times New Roman" w:hAnsi="Times New Roman" w:eastAsia="仿宋_GB2312"/>
          <w:sz w:val="32"/>
          <w:szCs w:val="24"/>
          <w:lang w:val="zh-CN"/>
        </w:rPr>
      </w:pPr>
      <w:bookmarkStart w:id="116" w:name="_Toc14846"/>
      <w:bookmarkStart w:id="117" w:name="_Toc28196"/>
      <w:r>
        <w:rPr>
          <w:rFonts w:hint="eastAsia" w:ascii="Times New Roman" w:hAnsi="Times New Roman" w:eastAsia="仿宋_GB2312"/>
          <w:sz w:val="32"/>
          <w:szCs w:val="24"/>
          <w:u w:val="none" w:color="auto"/>
          <w:lang w:val="zh-CN"/>
        </w:rPr>
        <w:t>（二）</w:t>
      </w:r>
      <w:r>
        <w:rPr>
          <w:rFonts w:hint="eastAsia" w:ascii="Times New Roman" w:hAnsi="Times New Roman" w:eastAsia="仿宋_GB2312"/>
          <w:sz w:val="32"/>
          <w:szCs w:val="24"/>
          <w:lang w:val="zh-CN"/>
        </w:rPr>
        <w:t>机构职能和人员概况。</w:t>
      </w:r>
      <w:bookmarkEnd w:id="116"/>
      <w:bookmarkEnd w:id="117"/>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1</w:t>
      </w:r>
      <w:r>
        <w:rPr>
          <w:rFonts w:hint="eastAsia" w:ascii="仿宋" w:hAnsi="仿宋" w:eastAsia="仿宋" w:cs="仿宋"/>
          <w:color w:val="000000"/>
          <w:sz w:val="32"/>
          <w:szCs w:val="32"/>
          <w:shd w:val="clear" w:color="auto" w:fill="FFFFFF"/>
          <w:lang w:val="en-US" w:eastAsia="zh-CN" w:bidi="ar-SA"/>
        </w:rPr>
        <w:t>.</w:t>
      </w:r>
      <w:r>
        <w:rPr>
          <w:rFonts w:hint="eastAsia" w:ascii="仿宋" w:hAnsi="仿宋" w:eastAsia="仿宋" w:cs="仿宋"/>
          <w:color w:val="000000"/>
          <w:sz w:val="32"/>
          <w:szCs w:val="32"/>
          <w:shd w:val="clear" w:color="auto" w:fill="FFFFFF"/>
          <w:lang w:val="zh-CN" w:eastAsia="zh-CN" w:bidi="ar-SA"/>
        </w:rPr>
        <w:t>机构职能</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（1）执行上级国家行政机关的决定、命令和国家制定的法令、法规，接受同级党委的领导，执行本级人民代表大会的各项决议，并报告执行决议、决定和命令的情况。 </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w:t>
      </w:r>
      <w:r>
        <w:rPr>
          <w:rFonts w:hint="eastAsia" w:ascii="仿宋" w:hAnsi="仿宋" w:eastAsia="仿宋" w:cs="仿宋"/>
          <w:color w:val="000000"/>
          <w:sz w:val="32"/>
          <w:szCs w:val="32"/>
          <w:shd w:val="clear" w:color="auto" w:fill="FFFFFF"/>
          <w:lang w:val="en-US" w:eastAsia="zh-CN" w:bidi="ar-SA"/>
        </w:rPr>
        <w:t>2</w:t>
      </w:r>
      <w:r>
        <w:rPr>
          <w:rFonts w:hint="eastAsia" w:ascii="仿宋" w:hAnsi="仿宋" w:eastAsia="仿宋" w:cs="仿宋"/>
          <w:color w:val="000000"/>
          <w:sz w:val="32"/>
          <w:szCs w:val="32"/>
          <w:shd w:val="clear" w:color="auto" w:fill="FFFFFF"/>
          <w:lang w:val="zh-CN" w:eastAsia="zh-CN" w:bidi="ar-SA"/>
        </w:rPr>
        <w:t>）制定并落实本行政区域的经济计划和措施，促进产业结构调整及其他经济保持平衡协调发展，抓好招商引资</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人才</w:t>
      </w:r>
      <w:r>
        <w:rPr>
          <w:rFonts w:hint="eastAsia" w:ascii="仿宋" w:hAnsi="仿宋" w:eastAsia="仿宋" w:cs="仿宋"/>
          <w:color w:val="000000"/>
          <w:sz w:val="32"/>
          <w:szCs w:val="32"/>
          <w:u w:val="none" w:color="FFFFFF"/>
          <w:shd w:val="clear" w:color="auto" w:fill="FFFFFF"/>
          <w:lang w:val="zh-CN" w:eastAsia="zh-CN" w:bidi="ar-SA"/>
        </w:rPr>
        <w:t>引进和</w:t>
      </w:r>
      <w:r>
        <w:rPr>
          <w:rFonts w:hint="eastAsia" w:ascii="仿宋" w:hAnsi="仿宋" w:eastAsia="仿宋" w:cs="仿宋"/>
          <w:color w:val="000000"/>
          <w:sz w:val="32"/>
          <w:szCs w:val="32"/>
          <w:shd w:val="clear" w:color="auto" w:fill="FFFFFF"/>
          <w:lang w:val="zh-CN" w:eastAsia="zh-CN" w:bidi="ar-SA"/>
        </w:rPr>
        <w:t>项目开发，不断培育市场体系，组织经济运行，促进经济发展，全面提高人民群众的生活水平和生活质量。</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w:t>
      </w:r>
      <w:r>
        <w:rPr>
          <w:rFonts w:hint="eastAsia" w:ascii="仿宋" w:hAnsi="仿宋" w:eastAsia="仿宋" w:cs="仿宋"/>
          <w:color w:val="000000"/>
          <w:sz w:val="32"/>
          <w:szCs w:val="32"/>
          <w:shd w:val="clear" w:color="auto" w:fill="FFFFFF"/>
          <w:lang w:val="en-US" w:eastAsia="zh-CN" w:bidi="ar-SA"/>
        </w:rPr>
        <w:t>3</w:t>
      </w:r>
      <w:r>
        <w:rPr>
          <w:rFonts w:hint="eastAsia" w:ascii="仿宋" w:hAnsi="仿宋" w:eastAsia="仿宋" w:cs="仿宋"/>
          <w:color w:val="000000"/>
          <w:sz w:val="32"/>
          <w:szCs w:val="32"/>
          <w:shd w:val="clear" w:color="auto" w:fill="FFFFFF"/>
          <w:lang w:val="zh-CN" w:eastAsia="zh-CN" w:bidi="ar-SA"/>
        </w:rPr>
        <w:t>）制定并组织实施村镇建设规划，部署重点工程建设，地方道路建设及公共设施，水利设施的管理，负责土地、林木、水等自然资源和生态环境的保护，做好护林防火工作。 </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w:t>
      </w:r>
      <w:r>
        <w:rPr>
          <w:rFonts w:hint="eastAsia" w:ascii="仿宋" w:hAnsi="仿宋" w:eastAsia="仿宋" w:cs="仿宋"/>
          <w:color w:val="000000"/>
          <w:sz w:val="32"/>
          <w:szCs w:val="32"/>
          <w:shd w:val="clear" w:color="auto" w:fill="FFFFFF"/>
          <w:lang w:val="en-US" w:eastAsia="zh-CN" w:bidi="ar-SA"/>
        </w:rPr>
        <w:t>4</w:t>
      </w:r>
      <w:r>
        <w:rPr>
          <w:rFonts w:hint="eastAsia" w:ascii="仿宋" w:hAnsi="仿宋" w:eastAsia="仿宋" w:cs="仿宋"/>
          <w:color w:val="000000"/>
          <w:sz w:val="32"/>
          <w:szCs w:val="32"/>
          <w:shd w:val="clear" w:color="auto" w:fill="FFFFFF"/>
          <w:lang w:val="zh-CN" w:eastAsia="zh-CN" w:bidi="ar-SA"/>
        </w:rPr>
        <w:t>）承担国有资产、集体资产管理、监督及增值保值责任</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保护公民私人所有合法财产，保障集体经济组织应有的自主权</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监督企业和各种经济联合体、个体户认真执行国家的法律、法令和政策，履行经济合同。 </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w:t>
      </w:r>
      <w:r>
        <w:rPr>
          <w:rFonts w:hint="eastAsia" w:ascii="仿宋" w:hAnsi="仿宋" w:eastAsia="仿宋" w:cs="仿宋"/>
          <w:color w:val="000000"/>
          <w:sz w:val="32"/>
          <w:szCs w:val="32"/>
          <w:shd w:val="clear" w:color="auto" w:fill="FFFFFF"/>
          <w:lang w:val="en-US" w:eastAsia="zh-CN" w:bidi="ar-SA"/>
        </w:rPr>
        <w:t>5</w:t>
      </w:r>
      <w:r>
        <w:rPr>
          <w:rFonts w:hint="eastAsia" w:ascii="仿宋" w:hAnsi="仿宋" w:eastAsia="仿宋" w:cs="仿宋"/>
          <w:color w:val="000000"/>
          <w:sz w:val="32"/>
          <w:szCs w:val="32"/>
          <w:shd w:val="clear" w:color="auto" w:fill="FFFFFF"/>
          <w:lang w:val="zh-CN" w:eastAsia="zh-CN" w:bidi="ar-SA"/>
        </w:rPr>
        <w:t>）开展社会主义民主和</w:t>
      </w:r>
      <w:r>
        <w:rPr>
          <w:rFonts w:hint="eastAsia" w:ascii="仿宋" w:hAnsi="仿宋" w:eastAsia="仿宋" w:cs="仿宋"/>
          <w:color w:val="000000"/>
          <w:sz w:val="32"/>
          <w:szCs w:val="32"/>
          <w:u w:val="none" w:color="FFFFFF"/>
          <w:shd w:val="clear" w:color="auto" w:fill="FFFFFF"/>
          <w:lang w:val="zh-CN" w:eastAsia="zh-CN" w:bidi="ar-SA"/>
        </w:rPr>
        <w:t>法治</w:t>
      </w:r>
      <w:r>
        <w:rPr>
          <w:rFonts w:hint="eastAsia" w:ascii="仿宋" w:hAnsi="仿宋" w:eastAsia="仿宋" w:cs="仿宋"/>
          <w:color w:val="000000"/>
          <w:sz w:val="32"/>
          <w:szCs w:val="32"/>
          <w:shd w:val="clear" w:color="auto" w:fill="FFFFFF"/>
          <w:lang w:val="zh-CN" w:eastAsia="zh-CN" w:bidi="ar-SA"/>
        </w:rPr>
        <w:t>的宣传教育，保障公民的权利</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制定社会治安综合治理工作规划并组织实施</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加强社区管理工作，依法管理外来流动人口，处理人民来信来访，调解民间纠纷，打击违法犯罪，维护社会稳定。 </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 xml:space="preserve"> （</w:t>
      </w:r>
      <w:r>
        <w:rPr>
          <w:rFonts w:hint="eastAsia" w:ascii="仿宋" w:hAnsi="仿宋" w:eastAsia="仿宋" w:cs="仿宋"/>
          <w:color w:val="000000"/>
          <w:sz w:val="32"/>
          <w:szCs w:val="32"/>
          <w:shd w:val="clear" w:color="auto" w:fill="FFFFFF"/>
          <w:lang w:val="en-US" w:eastAsia="zh-CN" w:bidi="ar-SA"/>
        </w:rPr>
        <w:t>6</w:t>
      </w:r>
      <w:r>
        <w:rPr>
          <w:rFonts w:hint="eastAsia" w:ascii="仿宋" w:hAnsi="仿宋" w:eastAsia="仿宋" w:cs="仿宋"/>
          <w:color w:val="000000"/>
          <w:sz w:val="32"/>
          <w:szCs w:val="32"/>
          <w:shd w:val="clear" w:color="auto" w:fill="FFFFFF"/>
          <w:lang w:val="zh-CN" w:eastAsia="zh-CN" w:bidi="ar-SA"/>
        </w:rPr>
        <w:t>）制定社会各项事业发展计划，发展教育、卫生、科技、民政、广播电视、文化、</w:t>
      </w:r>
      <w:r>
        <w:rPr>
          <w:rFonts w:hint="eastAsia" w:ascii="仿宋" w:hAnsi="仿宋" w:eastAsia="仿宋" w:cs="仿宋"/>
          <w:color w:val="000000"/>
          <w:sz w:val="32"/>
          <w:szCs w:val="32"/>
          <w:u w:val="none" w:color="FFFFFF"/>
          <w:shd w:val="clear" w:color="auto" w:fill="FFFFFF"/>
          <w:lang w:val="zh-CN" w:eastAsia="zh-CN" w:bidi="ar-SA"/>
        </w:rPr>
        <w:t>体育等</w:t>
      </w:r>
      <w:r>
        <w:rPr>
          <w:rFonts w:hint="eastAsia" w:ascii="仿宋" w:hAnsi="仿宋" w:eastAsia="仿宋" w:cs="仿宋"/>
          <w:color w:val="000000"/>
          <w:sz w:val="32"/>
          <w:szCs w:val="32"/>
          <w:shd w:val="clear" w:color="auto" w:fill="FFFFFF"/>
          <w:lang w:val="zh-CN" w:eastAsia="zh-CN" w:bidi="ar-SA"/>
        </w:rPr>
        <w:t>事业</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组织实施义务教育和其他各类教育</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加强计划生育工作</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推进社会保障、社会福利事业和养老保险工作</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做好劳动管理、科普、</w:t>
      </w:r>
      <w:r>
        <w:rPr>
          <w:rFonts w:hint="eastAsia" w:ascii="仿宋" w:hAnsi="仿宋" w:eastAsia="仿宋" w:cs="仿宋"/>
          <w:color w:val="000000"/>
          <w:sz w:val="32"/>
          <w:szCs w:val="32"/>
          <w:u w:val="none" w:color="FFFFFF"/>
          <w:shd w:val="clear" w:color="auto" w:fill="FFFFFF"/>
          <w:lang w:val="zh-CN" w:eastAsia="zh-CN" w:bidi="ar-SA"/>
        </w:rPr>
        <w:t>老龄</w:t>
      </w:r>
      <w:r>
        <w:rPr>
          <w:rFonts w:hint="eastAsia" w:ascii="仿宋" w:hAnsi="仿宋" w:eastAsia="仿宋" w:cs="仿宋"/>
          <w:color w:val="000000"/>
          <w:sz w:val="32"/>
          <w:szCs w:val="32"/>
          <w:shd w:val="clear" w:color="auto" w:fill="FFFFFF"/>
          <w:lang w:val="zh-CN" w:eastAsia="zh-CN" w:bidi="ar-SA"/>
        </w:rPr>
        <w:t>及宗教、侨务等工作。 </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 xml:space="preserve"> （</w:t>
      </w:r>
      <w:r>
        <w:rPr>
          <w:rFonts w:hint="eastAsia" w:ascii="仿宋" w:hAnsi="仿宋" w:eastAsia="仿宋" w:cs="仿宋"/>
          <w:color w:val="000000"/>
          <w:sz w:val="32"/>
          <w:szCs w:val="32"/>
          <w:shd w:val="clear" w:color="auto" w:fill="FFFFFF"/>
          <w:lang w:val="en-US" w:eastAsia="zh-CN" w:bidi="ar-SA"/>
        </w:rPr>
        <w:t>7</w:t>
      </w:r>
      <w:r>
        <w:rPr>
          <w:rFonts w:hint="eastAsia" w:ascii="仿宋" w:hAnsi="仿宋" w:eastAsia="仿宋" w:cs="仿宋"/>
          <w:color w:val="000000"/>
          <w:sz w:val="32"/>
          <w:szCs w:val="32"/>
          <w:shd w:val="clear" w:color="auto" w:fill="FFFFFF"/>
          <w:lang w:val="zh-CN" w:eastAsia="zh-CN" w:bidi="ar-SA"/>
        </w:rPr>
        <w:t>）加强镇级</w:t>
      </w:r>
      <w:r>
        <w:rPr>
          <w:rFonts w:hint="eastAsia" w:ascii="仿宋" w:hAnsi="仿宋" w:eastAsia="仿宋" w:cs="仿宋"/>
          <w:color w:val="000000"/>
          <w:sz w:val="32"/>
          <w:szCs w:val="32"/>
          <w:u w:val="none" w:color="FFFFFF"/>
          <w:shd w:val="clear" w:color="auto" w:fill="FFFFFF"/>
          <w:lang w:val="zh-CN" w:eastAsia="zh-CN" w:bidi="ar-SA"/>
        </w:rPr>
        <w:t>财政收入</w:t>
      </w:r>
      <w:r>
        <w:rPr>
          <w:rFonts w:hint="eastAsia" w:ascii="仿宋" w:hAnsi="仿宋" w:eastAsia="仿宋" w:cs="仿宋"/>
          <w:color w:val="000000"/>
          <w:sz w:val="32"/>
          <w:szCs w:val="32"/>
          <w:shd w:val="clear" w:color="auto" w:fill="FFFFFF"/>
          <w:lang w:val="zh-CN" w:eastAsia="zh-CN" w:bidi="ar-SA"/>
        </w:rPr>
        <w:t>的监督和管理，按计划组织、管理</w:t>
      </w:r>
      <w:r>
        <w:rPr>
          <w:rFonts w:hint="eastAsia" w:ascii="仿宋" w:hAnsi="仿宋" w:eastAsia="仿宋" w:cs="仿宋"/>
          <w:color w:val="000000"/>
          <w:sz w:val="32"/>
          <w:szCs w:val="32"/>
          <w:u w:val="none" w:color="FFFFFF"/>
          <w:shd w:val="clear" w:color="auto" w:fill="FFFFFF"/>
          <w:lang w:val="zh-CN" w:eastAsia="zh-CN" w:bidi="ar-SA"/>
        </w:rPr>
        <w:t>镇级</w:t>
      </w:r>
      <w:r>
        <w:rPr>
          <w:rFonts w:hint="eastAsia" w:ascii="仿宋" w:hAnsi="仿宋" w:eastAsia="仿宋" w:cs="仿宋"/>
          <w:color w:val="000000"/>
          <w:sz w:val="32"/>
          <w:szCs w:val="32"/>
          <w:shd w:val="clear" w:color="auto" w:fill="FFFFFF"/>
          <w:lang w:val="zh-CN" w:eastAsia="zh-CN" w:bidi="ar-SA"/>
        </w:rPr>
        <w:t>财政收入和支出，执行国家有关财经纪律和政策，保证国家财政收入的完成</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做好统计工作。 </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en-US" w:eastAsia="zh-CN" w:bidi="ar-SA"/>
        </w:rPr>
      </w:pPr>
      <w:r>
        <w:rPr>
          <w:rFonts w:hint="eastAsia" w:ascii="仿宋" w:hAnsi="仿宋" w:eastAsia="仿宋" w:cs="仿宋"/>
          <w:color w:val="000000"/>
          <w:sz w:val="32"/>
          <w:szCs w:val="32"/>
          <w:shd w:val="clear" w:color="auto" w:fill="FFFFFF"/>
          <w:lang w:val="zh-CN" w:eastAsia="zh-CN" w:bidi="ar-SA"/>
        </w:rPr>
        <w:t xml:space="preserve"> （</w:t>
      </w:r>
      <w:r>
        <w:rPr>
          <w:rFonts w:hint="eastAsia" w:ascii="仿宋" w:hAnsi="仿宋" w:eastAsia="仿宋" w:cs="仿宋"/>
          <w:color w:val="000000"/>
          <w:sz w:val="32"/>
          <w:szCs w:val="32"/>
          <w:shd w:val="clear" w:color="auto" w:fill="FFFFFF"/>
          <w:lang w:val="en-US" w:eastAsia="zh-CN" w:bidi="ar-SA"/>
        </w:rPr>
        <w:t>8</w:t>
      </w:r>
      <w:r>
        <w:rPr>
          <w:rFonts w:hint="eastAsia" w:ascii="仿宋" w:hAnsi="仿宋" w:eastAsia="仿宋" w:cs="仿宋"/>
          <w:color w:val="000000"/>
          <w:sz w:val="32"/>
          <w:szCs w:val="32"/>
          <w:shd w:val="clear" w:color="auto" w:fill="FFFFFF"/>
          <w:lang w:val="zh-CN" w:eastAsia="zh-CN" w:bidi="ar-SA"/>
        </w:rPr>
        <w:t>）指导、支持、帮助村</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居</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民委员会的组织制度建设和业务建设，促进村</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居</w:t>
      </w:r>
      <w:r>
        <w:rPr>
          <w:rFonts w:hint="eastAsia" w:ascii="仿宋" w:hAnsi="仿宋" w:eastAsia="仿宋" w:cs="仿宋"/>
          <w:color w:val="000000"/>
          <w:sz w:val="32"/>
          <w:szCs w:val="32"/>
          <w:u w:val="none" w:color="FFFFFF"/>
          <w:shd w:val="clear" w:color="auto" w:fill="FFFFFF"/>
          <w:lang w:val="zh-CN" w:eastAsia="zh-CN" w:bidi="ar-SA"/>
        </w:rPr>
        <w:t>）</w:t>
      </w:r>
      <w:r>
        <w:rPr>
          <w:rFonts w:hint="eastAsia" w:ascii="仿宋" w:hAnsi="仿宋" w:eastAsia="仿宋" w:cs="仿宋"/>
          <w:color w:val="000000"/>
          <w:sz w:val="32"/>
          <w:szCs w:val="32"/>
          <w:shd w:val="clear" w:color="auto" w:fill="FFFFFF"/>
          <w:lang w:val="zh-CN" w:eastAsia="zh-CN" w:bidi="ar-SA"/>
        </w:rPr>
        <w:t>民委员会民主自治</w:t>
      </w:r>
      <w:r>
        <w:rPr>
          <w:rFonts w:hint="eastAsia" w:ascii="仿宋" w:hAnsi="仿宋" w:eastAsia="仿宋" w:cs="仿宋"/>
          <w:color w:val="000000"/>
          <w:sz w:val="32"/>
          <w:szCs w:val="32"/>
          <w:u w:val="none" w:color="FFFFFF"/>
          <w:shd w:val="clear" w:color="auto" w:fill="FFFFFF"/>
          <w:lang w:val="en-US" w:eastAsia="zh-CN" w:bidi="ar-SA"/>
        </w:rPr>
        <w:t>。</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w:t>
      </w:r>
      <w:r>
        <w:rPr>
          <w:rFonts w:hint="eastAsia" w:ascii="仿宋" w:hAnsi="仿宋" w:eastAsia="仿宋" w:cs="仿宋"/>
          <w:color w:val="000000"/>
          <w:sz w:val="32"/>
          <w:szCs w:val="32"/>
          <w:shd w:val="clear" w:color="auto" w:fill="FFFFFF"/>
          <w:lang w:val="en-US" w:eastAsia="zh-CN" w:bidi="ar-SA"/>
        </w:rPr>
        <w:t>9</w:t>
      </w:r>
      <w:r>
        <w:rPr>
          <w:rFonts w:hint="eastAsia" w:ascii="仿宋" w:hAnsi="仿宋" w:eastAsia="仿宋" w:cs="仿宋"/>
          <w:color w:val="000000"/>
          <w:sz w:val="32"/>
          <w:szCs w:val="32"/>
          <w:shd w:val="clear" w:color="auto" w:fill="FFFFFF"/>
          <w:lang w:val="zh-CN" w:eastAsia="zh-CN" w:bidi="ar-SA"/>
        </w:rPr>
        <w:t>）协助和支持设置在本行政区域内不隶属于镇的国家机关和企事业单位工作，监督其遵守和执行国家的法律、法规和政策。</w:t>
      </w:r>
    </w:p>
    <w:p>
      <w:pPr>
        <w:pStyle w:val="7"/>
        <w:spacing w:beforeLines="0"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zh-CN" w:eastAsia="zh-CN" w:bidi="ar-SA"/>
        </w:rPr>
        <w:t>（1</w:t>
      </w:r>
      <w:r>
        <w:rPr>
          <w:rFonts w:hint="eastAsia" w:ascii="仿宋" w:hAnsi="仿宋" w:eastAsia="仿宋" w:cs="仿宋"/>
          <w:color w:val="000000"/>
          <w:sz w:val="32"/>
          <w:szCs w:val="32"/>
          <w:shd w:val="clear" w:color="auto" w:fill="FFFFFF"/>
          <w:lang w:val="en-US" w:eastAsia="zh-CN" w:bidi="ar-SA"/>
        </w:rPr>
        <w:t>0</w:t>
      </w:r>
      <w:r>
        <w:rPr>
          <w:rFonts w:hint="eastAsia" w:ascii="仿宋" w:hAnsi="仿宋" w:eastAsia="仿宋" w:cs="仿宋"/>
          <w:color w:val="000000"/>
          <w:sz w:val="32"/>
          <w:szCs w:val="32"/>
          <w:shd w:val="clear" w:color="auto" w:fill="FFFFFF"/>
          <w:lang w:val="zh-CN" w:eastAsia="zh-CN" w:bidi="ar-SA"/>
        </w:rPr>
        <w:t>）完成县委、县政府交办的其他工作。</w:t>
      </w:r>
    </w:p>
    <w:p>
      <w:pPr>
        <w:widowControl/>
        <w:autoSpaceDE/>
        <w:autoSpaceDN/>
        <w:snapToGrid w:val="0"/>
        <w:spacing w:line="560" w:lineRule="exact"/>
        <w:ind w:firstLine="640" w:firstLineChars="200"/>
        <w:rPr>
          <w:rFonts w:hint="eastAsia" w:ascii="仿宋_GB2312" w:hAnsi="宋体" w:eastAsia="仿宋_GB2312" w:cs="宋体"/>
          <w:color w:val="auto"/>
          <w:sz w:val="32"/>
          <w:szCs w:val="32"/>
          <w:shd w:val="clear" w:color="auto" w:fill="FFFFFF"/>
          <w:lang w:val="zh-CN"/>
        </w:rPr>
      </w:pPr>
      <w:r>
        <w:rPr>
          <w:rFonts w:hint="eastAsia" w:ascii="仿宋_GB2312" w:hAnsi="宋体" w:eastAsia="仿宋_GB2312" w:cs="宋体"/>
          <w:color w:val="auto"/>
          <w:sz w:val="32"/>
          <w:szCs w:val="32"/>
          <w:shd w:val="clear" w:color="auto" w:fill="FFFFFF"/>
          <w:lang w:val="en-US" w:eastAsia="zh-CN"/>
        </w:rPr>
        <w:t>2.</w:t>
      </w:r>
      <w:r>
        <w:rPr>
          <w:rFonts w:hint="eastAsia" w:ascii="仿宋_GB2312" w:hAnsi="宋体" w:eastAsia="仿宋_GB2312" w:cs="宋体"/>
          <w:color w:val="auto"/>
          <w:sz w:val="32"/>
          <w:szCs w:val="32"/>
          <w:shd w:val="clear" w:color="auto" w:fill="FFFFFF"/>
          <w:lang w:val="zh-CN"/>
        </w:rPr>
        <w:t>人员概况</w:t>
      </w:r>
    </w:p>
    <w:p>
      <w:pPr>
        <w:widowControl/>
        <w:autoSpaceDE/>
        <w:autoSpaceDN/>
        <w:snapToGrid w:val="0"/>
        <w:spacing w:line="560" w:lineRule="exact"/>
        <w:ind w:firstLine="640" w:firstLineChars="200"/>
        <w:rPr>
          <w:rFonts w:hint="eastAsia" w:ascii="仿宋" w:hAnsi="仿宋" w:eastAsia="仿宋" w:cs="仿宋"/>
          <w:color w:val="000000"/>
          <w:sz w:val="32"/>
          <w:szCs w:val="32"/>
          <w:shd w:val="clear" w:color="auto" w:fill="FFFFFF"/>
          <w:lang w:val="zh-CN" w:eastAsia="zh-CN" w:bidi="ar-SA"/>
        </w:rPr>
      </w:pPr>
      <w:r>
        <w:rPr>
          <w:rFonts w:hint="eastAsia" w:ascii="仿宋" w:hAnsi="仿宋" w:eastAsia="仿宋" w:cs="仿宋"/>
          <w:color w:val="000000"/>
          <w:sz w:val="32"/>
          <w:szCs w:val="32"/>
          <w:shd w:val="clear" w:color="auto" w:fill="FFFFFF"/>
          <w:lang w:val="en-US" w:eastAsia="zh-CN" w:bidi="ar-SA"/>
        </w:rPr>
        <w:t>政府内设党政办、民政办、社保办、综治办、计生办、林业站、乡村振兴办、水利站、农业综合服务站、文化站、财政所、交管站等部门；我镇核定总编制51名，其中，行政编制25名，机关工勤编制2名，核定事业编制26名。现有财政全额预算</w:t>
      </w:r>
      <w:r>
        <w:rPr>
          <w:rFonts w:hint="eastAsia" w:ascii="仿宋" w:hAnsi="仿宋" w:eastAsia="仿宋" w:cs="仿宋"/>
          <w:color w:val="000000"/>
          <w:sz w:val="32"/>
          <w:szCs w:val="32"/>
          <w:u w:val="none" w:color="FFFFFF"/>
          <w:shd w:val="clear" w:color="auto" w:fill="FFFFFF"/>
          <w:lang w:val="en-US" w:eastAsia="zh-CN" w:bidi="ar-SA"/>
        </w:rPr>
        <w:t>拨款人员</w:t>
      </w:r>
      <w:r>
        <w:rPr>
          <w:rFonts w:hint="eastAsia" w:ascii="仿宋" w:hAnsi="仿宋" w:eastAsia="仿宋" w:cs="仿宋"/>
          <w:color w:val="000000"/>
          <w:sz w:val="32"/>
          <w:szCs w:val="32"/>
          <w:shd w:val="clear" w:color="auto" w:fill="FFFFFF"/>
          <w:lang w:val="en-US" w:eastAsia="zh-CN" w:bidi="ar-SA"/>
        </w:rPr>
        <w:t>42人，公务员19人，机关</w:t>
      </w:r>
      <w:r>
        <w:rPr>
          <w:rFonts w:hint="eastAsia" w:ascii="仿宋" w:hAnsi="仿宋" w:eastAsia="仿宋" w:cs="仿宋"/>
          <w:color w:val="000000"/>
          <w:sz w:val="32"/>
          <w:szCs w:val="32"/>
          <w:u w:val="none" w:color="FFFFFF"/>
          <w:shd w:val="clear" w:color="auto" w:fill="FFFFFF"/>
          <w:lang w:val="en-US" w:eastAsia="zh-CN" w:bidi="ar-SA"/>
        </w:rPr>
        <w:t>工勤人员</w:t>
      </w:r>
      <w:r>
        <w:rPr>
          <w:rFonts w:hint="eastAsia" w:ascii="仿宋" w:hAnsi="仿宋" w:eastAsia="仿宋" w:cs="仿宋"/>
          <w:color w:val="000000"/>
          <w:sz w:val="32"/>
          <w:szCs w:val="32"/>
          <w:u w:val="none" w:color="FFFFFF"/>
          <w:shd w:val="clear" w:color="auto" w:fill="FFFFFF"/>
          <w:lang w:val="en-US" w:eastAsia="zh-CN" w:bidi="ar-SA"/>
        </w:rPr>
        <w:t>1名</w:t>
      </w:r>
      <w:r>
        <w:rPr>
          <w:rFonts w:hint="eastAsia" w:ascii="仿宋" w:hAnsi="仿宋" w:eastAsia="仿宋" w:cs="仿宋"/>
          <w:color w:val="000000"/>
          <w:sz w:val="32"/>
          <w:szCs w:val="32"/>
          <w:shd w:val="clear" w:color="auto" w:fill="FFFFFF"/>
          <w:lang w:val="en-US" w:eastAsia="zh-CN" w:bidi="ar-SA"/>
        </w:rPr>
        <w:t>，事业人员22人。</w:t>
      </w:r>
    </w:p>
    <w:p>
      <w:pPr>
        <w:spacing w:line="560" w:lineRule="exact"/>
        <w:ind w:firstLine="640" w:firstLineChars="200"/>
        <w:rPr>
          <w:rFonts w:hint="eastAsia" w:ascii="Times New Roman" w:hAnsi="Times New Roman" w:eastAsia="仿宋_GB2312"/>
          <w:sz w:val="32"/>
          <w:szCs w:val="24"/>
          <w:lang w:val="zh-CN"/>
        </w:rPr>
      </w:pPr>
      <w:bookmarkStart w:id="118" w:name="_Toc4839"/>
      <w:bookmarkStart w:id="119" w:name="_Toc27188"/>
      <w:r>
        <w:rPr>
          <w:rFonts w:hint="eastAsia" w:ascii="Times New Roman" w:hAnsi="Times New Roman" w:eastAsia="仿宋_GB2312"/>
          <w:sz w:val="32"/>
          <w:szCs w:val="24"/>
          <w:lang w:val="zh-CN"/>
        </w:rPr>
        <w:t>（三）年度主要工作任务。</w:t>
      </w:r>
      <w:bookmarkEnd w:id="118"/>
      <w:bookmarkEnd w:id="119"/>
    </w:p>
    <w:p>
      <w:pPr>
        <w:pStyle w:val="7"/>
        <w:numPr>
          <w:ilvl w:val="0"/>
          <w:numId w:val="0"/>
        </w:numPr>
        <w:autoSpaceDE/>
        <w:autoSpaceDN/>
        <w:adjustRightInd/>
        <w:spacing w:beforeLines="0" w:line="560" w:lineRule="exact"/>
        <w:ind w:firstLine="640" w:firstLineChars="200"/>
        <w:rPr>
          <w:rFonts w:hint="eastAsia" w:hAnsi="仿宋_GB2312" w:cs="仿宋_GB2312"/>
          <w:color w:val="000000"/>
          <w:sz w:val="32"/>
          <w:szCs w:val="32"/>
          <w:shd w:val="clear" w:color="auto" w:fill="FFFFFF"/>
          <w:lang w:val="en-US" w:eastAsia="zh-CN" w:bidi="ar-SA"/>
        </w:rPr>
      </w:pPr>
      <w:r>
        <w:rPr>
          <w:rFonts w:hint="eastAsia" w:hAnsi="仿宋_GB2312" w:cs="仿宋_GB2312"/>
          <w:color w:val="000000"/>
          <w:sz w:val="32"/>
          <w:szCs w:val="32"/>
          <w:shd w:val="clear" w:color="auto" w:fill="FFFFFF"/>
          <w:lang w:val="en-US" w:eastAsia="zh-CN" w:bidi="ar-SA"/>
        </w:rPr>
        <w:t>1.坚持以高质量发展为要务，推进乡村振兴新战略。进一步完善基础设施，优化村社规划，完善污水治理、绿化美化、硬化亮化等基础设施；继续深化人居环境综合整治，推进村（社区）清洁行动。</w:t>
      </w:r>
    </w:p>
    <w:p>
      <w:pPr>
        <w:pStyle w:val="7"/>
        <w:numPr>
          <w:ilvl w:val="0"/>
          <w:numId w:val="0"/>
        </w:numPr>
        <w:autoSpaceDE/>
        <w:autoSpaceDN/>
        <w:adjustRightInd/>
        <w:spacing w:beforeLines="0" w:line="560" w:lineRule="exact"/>
        <w:ind w:firstLine="640" w:firstLineChars="200"/>
        <w:rPr>
          <w:rFonts w:hint="eastAsia" w:hAnsi="仿宋_GB2312" w:cs="仿宋_GB2312"/>
          <w:color w:val="000000"/>
          <w:sz w:val="32"/>
          <w:szCs w:val="32"/>
          <w:shd w:val="clear" w:color="auto" w:fill="FFFFFF"/>
          <w:lang w:val="en-US" w:eastAsia="zh-CN" w:bidi="ar-SA"/>
        </w:rPr>
      </w:pPr>
      <w:r>
        <w:rPr>
          <w:rFonts w:hint="eastAsia" w:hAnsi="仿宋_GB2312" w:cs="仿宋_GB2312"/>
          <w:color w:val="000000"/>
          <w:sz w:val="32"/>
          <w:szCs w:val="32"/>
          <w:shd w:val="clear" w:color="auto" w:fill="FFFFFF"/>
          <w:lang w:val="en-US" w:eastAsia="zh-CN" w:bidi="ar-SA"/>
        </w:rPr>
        <w:t>2.坚持以深化改革为抓手，助力振兴产业添后劲。</w:t>
      </w:r>
      <w:r>
        <w:rPr>
          <w:rFonts w:hint="eastAsia" w:hAnsi="仿宋_GB2312" w:cs="仿宋_GB2312"/>
          <w:color w:val="000000"/>
          <w:sz w:val="32"/>
          <w:szCs w:val="32"/>
          <w:u w:val="thick" w:color="98967F"/>
          <w:shd w:val="clear" w:color="auto" w:fill="FFFFFF"/>
          <w:lang w:val="en-US" w:eastAsia="zh-CN" w:bidi="ar-SA"/>
        </w:rPr>
        <w:t>积极引导人才回乡创业，加大对现有农业企业的培植力度，深入开展好“放管服”，帮助农业产业企业排忧解难；</w:t>
      </w:r>
      <w:r>
        <w:rPr>
          <w:rFonts w:hint="eastAsia" w:hAnsi="仿宋_GB2312" w:cs="仿宋_GB2312"/>
          <w:color w:val="000000"/>
          <w:sz w:val="32"/>
          <w:szCs w:val="32"/>
          <w:shd w:val="clear" w:color="auto" w:fill="FFFFFF"/>
          <w:lang w:val="en-US" w:eastAsia="zh-CN" w:bidi="ar-SA"/>
        </w:rPr>
        <w:t>大力发展</w:t>
      </w:r>
      <w:r>
        <w:rPr>
          <w:rFonts w:hint="eastAsia" w:hAnsi="仿宋_GB2312" w:cs="仿宋_GB2312"/>
          <w:color w:val="000000"/>
          <w:sz w:val="32"/>
          <w:szCs w:val="32"/>
          <w:u w:val="none" w:color="FFFFFF"/>
          <w:shd w:val="clear" w:color="auto" w:fill="FFFFFF"/>
          <w:lang w:val="en-US" w:eastAsia="zh-CN" w:bidi="ar-SA"/>
        </w:rPr>
        <w:t>新</w:t>
      </w:r>
      <w:r>
        <w:rPr>
          <w:rFonts w:hint="eastAsia" w:hAnsi="仿宋_GB2312" w:cs="仿宋_GB2312"/>
          <w:color w:val="000000"/>
          <w:sz w:val="32"/>
          <w:szCs w:val="32"/>
          <w:shd w:val="clear" w:color="auto" w:fill="FFFFFF"/>
          <w:lang w:val="en-US" w:eastAsia="zh-CN" w:bidi="ar-SA"/>
        </w:rPr>
        <w:t>农村产业，打造“一镇一业”“一村一品”。</w:t>
      </w:r>
    </w:p>
    <w:p>
      <w:pPr>
        <w:pStyle w:val="7"/>
        <w:numPr>
          <w:ilvl w:val="0"/>
          <w:numId w:val="0"/>
        </w:numPr>
        <w:autoSpaceDE/>
        <w:autoSpaceDN/>
        <w:adjustRightInd/>
        <w:spacing w:beforeLines="0" w:line="560" w:lineRule="exact"/>
        <w:ind w:firstLine="640" w:firstLineChars="200"/>
        <w:rPr>
          <w:rFonts w:hint="eastAsia" w:hAnsi="仿宋_GB2312" w:cs="仿宋_GB2312"/>
          <w:color w:val="000000"/>
          <w:sz w:val="32"/>
          <w:szCs w:val="32"/>
          <w:shd w:val="clear" w:color="auto" w:fill="FFFFFF"/>
          <w:lang w:val="en-US" w:eastAsia="zh-CN" w:bidi="ar-SA"/>
        </w:rPr>
      </w:pPr>
      <w:r>
        <w:rPr>
          <w:rFonts w:hint="eastAsia" w:hAnsi="仿宋_GB2312" w:cs="仿宋_GB2312"/>
          <w:color w:val="000000"/>
          <w:sz w:val="32"/>
          <w:szCs w:val="32"/>
          <w:u w:val="none" w:color="FFFFFF"/>
          <w:shd w:val="clear" w:color="auto" w:fill="FFFFFF"/>
          <w:lang w:val="en-US" w:eastAsia="zh-CN" w:bidi="ar-SA"/>
        </w:rPr>
        <w:t>3.坚持以改善民生为根本，不断增强人民群众的获得感。</w:t>
      </w:r>
      <w:r>
        <w:rPr>
          <w:rFonts w:hint="eastAsia" w:hAnsi="仿宋_GB2312" w:cs="仿宋_GB2312"/>
          <w:color w:val="000000"/>
          <w:sz w:val="32"/>
          <w:szCs w:val="32"/>
          <w:shd w:val="clear" w:color="auto" w:fill="FFFFFF"/>
          <w:lang w:val="en-US" w:eastAsia="zh-CN" w:bidi="ar-SA"/>
        </w:rPr>
        <w:t>坚持脱贫不脱政策，健全防止返贫动态监测和帮扶机制；推进创业就业富民工程，带动全镇农村剩余劳动力充分就业、稳定增收；扎实做好低保动态管理、大病临时救助，确保弱势群体生活有保障。</w:t>
      </w:r>
    </w:p>
    <w:p>
      <w:pPr>
        <w:pStyle w:val="7"/>
        <w:numPr>
          <w:ilvl w:val="0"/>
          <w:numId w:val="0"/>
        </w:numPr>
        <w:autoSpaceDE/>
        <w:autoSpaceDN/>
        <w:adjustRightInd/>
        <w:spacing w:beforeLines="0" w:line="560" w:lineRule="exact"/>
        <w:ind w:firstLine="640" w:firstLineChars="200"/>
        <w:rPr>
          <w:rFonts w:hint="eastAsia" w:hAnsi="仿宋_GB2312" w:cs="仿宋_GB2312"/>
          <w:color w:val="000000"/>
          <w:sz w:val="32"/>
          <w:szCs w:val="32"/>
          <w:shd w:val="clear" w:color="auto" w:fill="FFFFFF"/>
          <w:lang w:val="en-US" w:eastAsia="zh-CN" w:bidi="ar-SA"/>
        </w:rPr>
      </w:pPr>
      <w:r>
        <w:rPr>
          <w:rFonts w:hint="eastAsia" w:hAnsi="仿宋_GB2312" w:cs="仿宋_GB2312"/>
          <w:color w:val="000000"/>
          <w:sz w:val="32"/>
          <w:szCs w:val="32"/>
          <w:shd w:val="clear" w:color="auto" w:fill="FFFFFF"/>
          <w:lang w:val="en-US" w:eastAsia="zh-CN" w:bidi="ar-SA"/>
        </w:rPr>
        <w:t>4.坚持以生命至上为底线，筑牢安全稳定防护墙。深入推进平安建设，坚决打击各类黑恶犯罪，坚持化解存量、遏制增量，持续巩固信访无越级上访成果，深化基层民主治理，全面修订完善村规民约。</w:t>
      </w:r>
    </w:p>
    <w:p>
      <w:pPr>
        <w:keepNext/>
        <w:keepLines/>
        <w:numPr>
          <w:ilvl w:val="0"/>
          <w:numId w:val="0"/>
        </w:numPr>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en-US" w:eastAsia="zh-CN" w:bidi="ar-SA"/>
        </w:rPr>
        <w:t>5.坚持以转变职能为保障，推动自身</w:t>
      </w:r>
      <w:r>
        <w:rPr>
          <w:rFonts w:hint="eastAsia" w:ascii="仿宋_GB2312" w:hAnsi="仿宋_GB2312" w:eastAsia="仿宋_GB2312" w:cs="仿宋_GB2312"/>
          <w:color w:val="000000"/>
          <w:sz w:val="32"/>
          <w:szCs w:val="32"/>
          <w:u w:val="none" w:color="FFFFFF"/>
          <w:shd w:val="clear" w:color="auto" w:fill="FFFFFF"/>
          <w:lang w:val="en-US" w:eastAsia="zh-CN" w:bidi="ar-SA"/>
        </w:rPr>
        <w:t>建设迈</w:t>
      </w:r>
      <w:r>
        <w:rPr>
          <w:rFonts w:hint="eastAsia" w:ascii="仿宋_GB2312" w:hAnsi="仿宋_GB2312" w:eastAsia="仿宋_GB2312" w:cs="仿宋_GB2312"/>
          <w:color w:val="000000"/>
          <w:sz w:val="32"/>
          <w:szCs w:val="32"/>
          <w:shd w:val="clear" w:color="auto" w:fill="FFFFFF"/>
          <w:lang w:val="en-US" w:eastAsia="zh-CN" w:bidi="ar-SA"/>
        </w:rPr>
        <w:t>上台阶。打造服务型政府，优化办事流程和服务标准，打通群众办事“最后一公里”，提高公信力，认真落实党风廉政建设责任制，树立行为规范、运转协调、廉洁高效的良好形象。</w:t>
      </w:r>
    </w:p>
    <w:p>
      <w:pPr>
        <w:numPr>
          <w:ilvl w:val="0"/>
          <w:numId w:val="2"/>
        </w:numPr>
        <w:spacing w:line="560" w:lineRule="exact"/>
        <w:ind w:firstLine="640" w:firstLineChars="200"/>
        <w:rPr>
          <w:rFonts w:hint="eastAsia" w:ascii="Times New Roman" w:hAnsi="Times New Roman" w:eastAsia="仿宋_GB2312"/>
          <w:sz w:val="32"/>
          <w:szCs w:val="24"/>
          <w:lang w:val="zh-CN"/>
        </w:rPr>
      </w:pPr>
      <w:bookmarkStart w:id="120" w:name="_Toc10965"/>
      <w:bookmarkStart w:id="121" w:name="_Toc31723"/>
      <w:r>
        <w:rPr>
          <w:rFonts w:hint="eastAsia" w:ascii="Times New Roman" w:hAnsi="Times New Roman" w:eastAsia="仿宋_GB2312"/>
          <w:sz w:val="32"/>
          <w:szCs w:val="24"/>
          <w:lang w:val="zh-CN"/>
        </w:rPr>
        <w:t>部门整体</w:t>
      </w:r>
      <w:r>
        <w:rPr>
          <w:rFonts w:hint="eastAsia" w:eastAsia="仿宋_GB2312"/>
          <w:sz w:val="32"/>
          <w:szCs w:val="24"/>
          <w:u w:val="none" w:color="FFFFFF"/>
          <w:shd w:val="clear" w:fill="FFFFFF"/>
          <w:lang w:val="zh-CN"/>
        </w:rPr>
        <w:t>支出实现</w:t>
      </w:r>
      <w:r>
        <w:rPr>
          <w:rFonts w:hint="eastAsia" w:ascii="Times New Roman" w:hAnsi="Times New Roman" w:eastAsia="仿宋_GB2312"/>
          <w:sz w:val="32"/>
          <w:szCs w:val="24"/>
          <w:lang w:val="zh-CN"/>
        </w:rPr>
        <w:t>绩效目标。</w:t>
      </w:r>
      <w:bookmarkEnd w:id="120"/>
      <w:bookmarkEnd w:id="121"/>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zh-CN" w:eastAsia="zh-CN" w:bidi="ar-SA"/>
        </w:rPr>
        <w:t>1</w:t>
      </w:r>
      <w:r>
        <w:rPr>
          <w:rFonts w:hint="eastAsia" w:ascii="仿宋_GB2312" w:hAnsi="仿宋_GB2312" w:eastAsia="仿宋_GB2312" w:cs="仿宋_GB2312"/>
          <w:color w:val="000000"/>
          <w:sz w:val="32"/>
          <w:szCs w:val="32"/>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zh-CN" w:eastAsia="zh-CN" w:bidi="ar-SA"/>
        </w:rPr>
        <w:t>进一步巩固脱贫成果。我乡将接续推进全面脱贫与乡村振兴有效衔接作为工作重点，一是从产业入手，做好发展衔接。坚持因地制宜，培育和发展优势产业及主导产业；二是从机制入手，做好政策衔接。借鉴脱贫攻坚形成的领导体制和工作机制，丰富和完善乡村振兴体制机制；三是从治理入手，做好服务衔接。将脱贫攻坚中形成的治理框架经过一定的再创新后，形成更好服务于乡村振兴的治理体系。持续激发</w:t>
      </w:r>
      <w:r>
        <w:rPr>
          <w:rFonts w:hint="eastAsia" w:ascii="仿宋_GB2312" w:hAnsi="仿宋_GB2312" w:eastAsia="仿宋_GB2312" w:cs="仿宋_GB2312"/>
          <w:color w:val="000000"/>
          <w:sz w:val="32"/>
          <w:szCs w:val="32"/>
          <w:u w:val="none" w:color="FFFFFF"/>
          <w:shd w:val="clear" w:color="auto" w:fill="FFFFFF"/>
          <w:lang w:val="zh-CN" w:eastAsia="zh-CN" w:bidi="ar-SA"/>
        </w:rPr>
        <w:t>乡村振兴</w:t>
      </w:r>
      <w:r>
        <w:rPr>
          <w:rFonts w:hint="eastAsia" w:ascii="仿宋_GB2312" w:hAnsi="仿宋_GB2312" w:eastAsia="仿宋_GB2312" w:cs="仿宋_GB2312"/>
          <w:color w:val="000000"/>
          <w:sz w:val="32"/>
          <w:szCs w:val="32"/>
          <w:shd w:val="clear" w:color="auto" w:fill="FFFFFF"/>
          <w:lang w:val="zh-CN" w:eastAsia="zh-CN" w:bidi="ar-SA"/>
        </w:rPr>
        <w:t>群众的主动性积极性创造性，使乡村振兴获得源源不断的内生动力。</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zh-CN" w:eastAsia="zh-CN" w:bidi="ar-SA"/>
        </w:rPr>
        <w:t>2</w:t>
      </w:r>
      <w:r>
        <w:rPr>
          <w:rFonts w:hint="eastAsia" w:ascii="仿宋_GB2312" w:hAnsi="仿宋_GB2312" w:eastAsia="仿宋_GB2312" w:cs="仿宋_GB2312"/>
          <w:color w:val="000000"/>
          <w:sz w:val="32"/>
          <w:szCs w:val="32"/>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zh-CN" w:eastAsia="zh-CN" w:bidi="ar-SA"/>
        </w:rPr>
        <w:t>持续做好底线工作。全乡上下牢固树立“一盘棋”思想，切实加强组织领导，进一步压实防灾减灾等底线工作责任，保持临战状态，强化宣传引导，把森林防灭火、安全生产等工作全面做实做细。</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zh-CN" w:eastAsia="zh-CN" w:bidi="ar-SA"/>
        </w:rPr>
        <w:t>3</w:t>
      </w:r>
      <w:r>
        <w:rPr>
          <w:rFonts w:hint="eastAsia" w:ascii="仿宋_GB2312" w:hAnsi="仿宋_GB2312" w:eastAsia="仿宋_GB2312" w:cs="仿宋_GB2312"/>
          <w:color w:val="000000"/>
          <w:sz w:val="32"/>
          <w:szCs w:val="32"/>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zh-CN" w:eastAsia="zh-CN" w:bidi="ar-SA"/>
        </w:rPr>
        <w:t>进一步搞好产业</w:t>
      </w:r>
      <w:r>
        <w:rPr>
          <w:rFonts w:hint="eastAsia" w:ascii="仿宋_GB2312" w:hAnsi="仿宋_GB2312" w:eastAsia="仿宋_GB2312" w:cs="仿宋_GB2312"/>
          <w:color w:val="000000"/>
          <w:sz w:val="32"/>
          <w:szCs w:val="32"/>
          <w:u w:val="none" w:color="FFFFFF"/>
          <w:shd w:val="clear" w:color="auto" w:fill="FFFFFF"/>
          <w:lang w:val="zh-CN" w:eastAsia="zh-CN" w:bidi="ar-SA"/>
        </w:rPr>
        <w:t>发展工作</w:t>
      </w:r>
      <w:r>
        <w:rPr>
          <w:rFonts w:hint="eastAsia" w:ascii="仿宋_GB2312" w:hAnsi="仿宋_GB2312" w:eastAsia="仿宋_GB2312" w:cs="仿宋_GB2312"/>
          <w:color w:val="000000"/>
          <w:sz w:val="32"/>
          <w:szCs w:val="32"/>
          <w:shd w:val="clear" w:color="auto" w:fill="FFFFFF"/>
          <w:lang w:val="zh-CN" w:eastAsia="zh-CN" w:bidi="ar-SA"/>
        </w:rPr>
        <w:t>。根据各村区域位置和产业特点，在抓好雷竹、金银花等主导产业的同时，持续实施“一户一策”，打造“一村一品”，统筹谋划产业发展新布局。争取年底前完成砥坝村、白果坝村富硒肉兔养殖场建设，持续实施</w:t>
      </w:r>
      <w:r>
        <w:rPr>
          <w:rFonts w:hint="eastAsia" w:ascii="仿宋_GB2312" w:hAnsi="仿宋_GB2312" w:eastAsia="仿宋_GB2312" w:cs="仿宋_GB2312"/>
          <w:color w:val="000000"/>
          <w:sz w:val="32"/>
          <w:szCs w:val="32"/>
          <w:u w:val="none" w:color="FFFFFF"/>
          <w:shd w:val="clear" w:color="auto" w:fill="FFFFFF"/>
          <w:lang w:val="zh-CN" w:eastAsia="zh-CN" w:bidi="ar-SA"/>
        </w:rPr>
        <w:t>高家梁村</w:t>
      </w:r>
      <w:r>
        <w:rPr>
          <w:rFonts w:hint="eastAsia" w:ascii="仿宋_GB2312" w:hAnsi="仿宋_GB2312" w:eastAsia="仿宋_GB2312" w:cs="仿宋_GB2312"/>
          <w:color w:val="000000"/>
          <w:sz w:val="32"/>
          <w:szCs w:val="32"/>
          <w:shd w:val="clear" w:color="auto" w:fill="FFFFFF"/>
          <w:lang w:val="zh-CN" w:eastAsia="zh-CN" w:bidi="ar-SA"/>
        </w:rPr>
        <w:t>、白果坝村连片金银花发展项目建设，充分挖掘地方特色生态文化资源，促进乡村旅游产业发展。</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zh-CN" w:eastAsia="zh-CN" w:bidi="ar-SA"/>
        </w:rPr>
        <w:t>4</w:t>
      </w:r>
      <w:r>
        <w:rPr>
          <w:rFonts w:hint="eastAsia" w:ascii="仿宋_GB2312" w:hAnsi="仿宋_GB2312" w:eastAsia="仿宋_GB2312" w:cs="仿宋_GB2312"/>
          <w:color w:val="000000"/>
          <w:sz w:val="32"/>
          <w:szCs w:val="32"/>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zh-CN" w:eastAsia="zh-CN" w:bidi="ar-SA"/>
        </w:rPr>
        <w:t>进一步加大项目</w:t>
      </w:r>
      <w:r>
        <w:rPr>
          <w:rFonts w:hint="eastAsia" w:ascii="仿宋_GB2312" w:hAnsi="仿宋_GB2312" w:eastAsia="仿宋_GB2312" w:cs="仿宋_GB2312"/>
          <w:color w:val="000000"/>
          <w:sz w:val="32"/>
          <w:szCs w:val="32"/>
          <w:u w:val="none" w:color="FFFFFF"/>
          <w:shd w:val="clear" w:color="auto" w:fill="FFFFFF"/>
          <w:lang w:val="zh-CN" w:eastAsia="zh-CN" w:bidi="ar-SA"/>
        </w:rPr>
        <w:t>争取力度</w:t>
      </w:r>
      <w:r>
        <w:rPr>
          <w:rFonts w:hint="eastAsia" w:ascii="仿宋_GB2312" w:hAnsi="仿宋_GB2312" w:eastAsia="仿宋_GB2312" w:cs="仿宋_GB2312"/>
          <w:color w:val="000000"/>
          <w:sz w:val="32"/>
          <w:szCs w:val="32"/>
          <w:shd w:val="clear" w:color="auto" w:fill="FFFFFF"/>
          <w:lang w:val="zh-CN" w:eastAsia="zh-CN" w:bidi="ar-SA"/>
        </w:rPr>
        <w:t>。紧紧围绕乡村振兴战略，继续加大项目争取力度，依托项目扶持，重点围绕农村经济社会发展的关键领域和重点区域，着力改善基础设施、环境质量、承载功能、居住条件、特色风貌，努力建设生态宜居、美丽幸福家园。</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zh-CN" w:eastAsia="zh-CN" w:bidi="ar-SA"/>
        </w:rPr>
        <w:t>5</w:t>
      </w:r>
      <w:r>
        <w:rPr>
          <w:rFonts w:hint="eastAsia" w:ascii="仿宋_GB2312" w:hAnsi="仿宋_GB2312" w:eastAsia="仿宋_GB2312" w:cs="仿宋_GB2312"/>
          <w:color w:val="000000"/>
          <w:sz w:val="32"/>
          <w:szCs w:val="32"/>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zh-CN" w:eastAsia="zh-CN" w:bidi="ar-SA"/>
        </w:rPr>
        <w:t>进一步注重民生工程。解决好人民群众关心的就业、教育、医疗、住房、社保等问题；加大农村环境卫生综合整治力度，集中整治农村环境“脏、乱、差”，彻底消灭生活垃圾乱倒、柴草乱垛、粪土乱堆、建筑垃圾乱放和牌匾标语、横幅、广告乱贴乱画等现象；把维护社会稳定作为基本民生工程，加强社会治安综合治理，认真开展扫黑除恶专项行动，做好信访维稳工作，强化安全生产和食品药品安全，确保全镇社会大局稳定。</w:t>
      </w:r>
    </w:p>
    <w:p>
      <w:pPr>
        <w:pStyle w:val="2"/>
        <w:spacing w:line="560" w:lineRule="exact"/>
        <w:ind w:firstLine="480" w:firstLineChars="200"/>
        <w:rPr>
          <w:rFonts w:hint="eastAsia"/>
          <w:sz w:val="24"/>
          <w:szCs w:val="24"/>
          <w:lang w:val="zh-CN" w:eastAsia="zh-CN"/>
        </w:rPr>
      </w:pPr>
    </w:p>
    <w:p>
      <w:pPr>
        <w:spacing w:line="560" w:lineRule="exact"/>
        <w:ind w:firstLine="640" w:firstLineChars="200"/>
        <w:rPr>
          <w:rFonts w:hint="eastAsia" w:ascii="Times New Roman" w:hAnsi="Times New Roman" w:eastAsia="楷体"/>
          <w:sz w:val="32"/>
          <w:szCs w:val="24"/>
          <w:lang w:val="en-US"/>
        </w:rPr>
      </w:pPr>
      <w:bookmarkStart w:id="122" w:name="_Toc21394"/>
      <w:bookmarkStart w:id="123" w:name="_Toc12009"/>
      <w:bookmarkStart w:id="124" w:name="_Toc6340"/>
      <w:r>
        <w:rPr>
          <w:rFonts w:hint="eastAsia" w:ascii="Times New Roman" w:hAnsi="Times New Roman" w:eastAsia="楷体"/>
          <w:sz w:val="32"/>
          <w:szCs w:val="24"/>
          <w:lang w:val="en-US"/>
        </w:rPr>
        <w:t>二、部门资金收支情况</w:t>
      </w:r>
      <w:bookmarkEnd w:id="122"/>
      <w:bookmarkEnd w:id="123"/>
      <w:bookmarkEnd w:id="124"/>
    </w:p>
    <w:p>
      <w:pPr>
        <w:spacing w:line="560" w:lineRule="exact"/>
        <w:ind w:firstLine="640" w:firstLineChars="200"/>
        <w:rPr>
          <w:rFonts w:hint="eastAsia" w:ascii="Times New Roman" w:hAnsi="Times New Roman" w:eastAsia="仿宋_GB2312"/>
          <w:sz w:val="32"/>
          <w:szCs w:val="24"/>
          <w:lang w:val="zh-CN"/>
        </w:rPr>
      </w:pPr>
      <w:bookmarkStart w:id="125" w:name="_Toc15911"/>
      <w:bookmarkStart w:id="126" w:name="_Toc12286"/>
      <w:r>
        <w:rPr>
          <w:rFonts w:hint="eastAsia" w:ascii="Times New Roman" w:hAnsi="Times New Roman" w:eastAsia="仿宋_GB2312"/>
          <w:sz w:val="32"/>
          <w:szCs w:val="24"/>
          <w:u w:val="none" w:color="FFFFFF"/>
          <w:shd w:val="clear" w:fill="FFFFFF"/>
          <w:lang w:val="zh-CN"/>
        </w:rPr>
        <w:t>（一）</w:t>
      </w:r>
      <w:r>
        <w:rPr>
          <w:rFonts w:hint="eastAsia" w:ascii="Times New Roman" w:hAnsi="Times New Roman" w:eastAsia="仿宋_GB2312"/>
          <w:sz w:val="32"/>
          <w:szCs w:val="24"/>
          <w:lang w:val="zh-CN"/>
        </w:rPr>
        <w:t>部门总体收支情况。</w:t>
      </w:r>
      <w:bookmarkEnd w:id="125"/>
      <w:bookmarkEnd w:id="126"/>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单位本年收入合计1508.04万元</w:t>
      </w:r>
      <w:r>
        <w:rPr>
          <w:rFonts w:hint="eastAsia" w:ascii="仿宋_GB2312" w:hAnsi="仿宋_GB2312" w:eastAsia="仿宋_GB2312" w:cs="仿宋_GB2312"/>
          <w:color w:val="000000"/>
          <w:sz w:val="32"/>
          <w:szCs w:val="32"/>
          <w:u w:val="none" w:color="FFFFFF"/>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en-US" w:eastAsia="zh-CN" w:bidi="ar-SA"/>
        </w:rPr>
        <w:t>全部为财政拨款收入</w:t>
      </w:r>
      <w:r>
        <w:rPr>
          <w:rFonts w:hint="eastAsia" w:ascii="仿宋_GB2312" w:hAnsi="仿宋_GB2312" w:eastAsia="仿宋_GB2312" w:cs="仿宋_GB2312"/>
          <w:color w:val="000000"/>
          <w:sz w:val="32"/>
          <w:szCs w:val="32"/>
          <w:u w:val="none" w:color="FFFFFF"/>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en-US" w:eastAsia="zh-CN" w:bidi="ar-SA"/>
        </w:rPr>
        <w:t>支出合计1508.04万元</w:t>
      </w:r>
      <w:r>
        <w:rPr>
          <w:rFonts w:hint="eastAsia" w:ascii="仿宋_GB2312" w:hAnsi="仿宋_GB2312" w:eastAsia="仿宋_GB2312" w:cs="仿宋_GB2312"/>
          <w:color w:val="000000"/>
          <w:sz w:val="32"/>
          <w:szCs w:val="32"/>
          <w:u w:val="none" w:color="FFFFFF"/>
          <w:shd w:val="clear" w:color="auto" w:fill="FFFFFF"/>
          <w:lang w:val="en-US" w:eastAsia="zh-CN" w:bidi="ar-SA"/>
        </w:rPr>
        <w:t>，</w:t>
      </w:r>
      <w:r>
        <w:rPr>
          <w:rFonts w:hint="eastAsia" w:ascii="仿宋_GB2312" w:hAnsi="仿宋_GB2312" w:eastAsia="仿宋_GB2312" w:cs="仿宋_GB2312"/>
          <w:color w:val="000000"/>
          <w:sz w:val="32"/>
          <w:szCs w:val="32"/>
          <w:shd w:val="clear" w:color="auto" w:fill="FFFFFF"/>
          <w:lang w:val="en-US" w:eastAsia="zh-CN" w:bidi="ar-SA"/>
        </w:rPr>
        <w:t>其中基本支出1018.19万元，项目支出489.85万元，无结转结余情况。</w:t>
      </w:r>
    </w:p>
    <w:p>
      <w:pPr>
        <w:spacing w:line="560" w:lineRule="exact"/>
        <w:ind w:firstLine="640" w:firstLineChars="200"/>
        <w:rPr>
          <w:rFonts w:hint="eastAsia" w:ascii="Times New Roman" w:hAnsi="Times New Roman" w:eastAsia="仿宋_GB2312"/>
          <w:sz w:val="32"/>
          <w:szCs w:val="24"/>
          <w:lang w:val="zh-CN"/>
        </w:rPr>
      </w:pPr>
      <w:bookmarkStart w:id="127" w:name="_Toc8693"/>
      <w:bookmarkStart w:id="128" w:name="_Toc29188"/>
      <w:r>
        <w:rPr>
          <w:rFonts w:hint="eastAsia" w:ascii="Times New Roman" w:hAnsi="Times New Roman" w:eastAsia="仿宋_GB2312"/>
          <w:sz w:val="32"/>
          <w:szCs w:val="24"/>
          <w:lang w:val="zh-CN"/>
        </w:rPr>
        <w:t>（二）部门财政拨款收支情况。</w:t>
      </w:r>
      <w:bookmarkEnd w:id="127"/>
      <w:bookmarkEnd w:id="128"/>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单位财政拨款收入合计1508.04万元，财政拨款支出合计1508.04万元，其中人员经费862.68万元，公用经费155.50万元，项目支出489.85万元，财政拨款无结余。</w:t>
      </w:r>
    </w:p>
    <w:p>
      <w:pPr>
        <w:widowControl/>
        <w:autoSpaceDE/>
        <w:autoSpaceDN/>
        <w:snapToGrid w:val="0"/>
        <w:spacing w:line="560" w:lineRule="exact"/>
        <w:ind w:firstLine="640" w:firstLineChars="200"/>
        <w:rPr>
          <w:rFonts w:hint="eastAsia" w:ascii="Times New Roman" w:hAnsi="Times New Roman" w:eastAsia="楷体"/>
          <w:sz w:val="32"/>
          <w:szCs w:val="24"/>
          <w:lang w:val="en-US"/>
        </w:rPr>
      </w:pPr>
      <w:r>
        <w:rPr>
          <w:rFonts w:hint="eastAsia" w:ascii="仿宋_GB2312" w:hAnsi="仿宋_GB2312" w:eastAsia="仿宋_GB2312" w:cs="仿宋_GB2312"/>
          <w:color w:val="000000"/>
          <w:sz w:val="32"/>
          <w:szCs w:val="32"/>
          <w:shd w:val="clear" w:color="auto" w:fill="FFFFFF"/>
          <w:lang w:val="en-US" w:eastAsia="zh-CN" w:bidi="ar-SA"/>
        </w:rPr>
        <w:t>我单位本年度财政拨款支出为1508.04</w:t>
      </w:r>
      <w:r>
        <w:rPr>
          <w:rFonts w:hint="eastAsia" w:ascii="仿宋_GB2312" w:hAnsi="仿宋_GB2312" w:eastAsia="仿宋_GB2312" w:cs="仿宋_GB2312"/>
          <w:color w:val="000000"/>
          <w:sz w:val="32"/>
          <w:szCs w:val="32"/>
          <w:shd w:val="clear" w:color="auto" w:fill="FFFFFF"/>
          <w:lang w:val="zh-CN" w:eastAsia="zh-CN" w:bidi="ar-SA"/>
        </w:rPr>
        <w:t>万元。</w:t>
      </w:r>
      <w:r>
        <w:rPr>
          <w:rFonts w:hint="eastAsia" w:ascii="仿宋_GB2312" w:hAnsi="仿宋_GB2312" w:eastAsia="仿宋_GB2312" w:cs="仿宋_GB2312"/>
          <w:color w:val="000000"/>
          <w:sz w:val="32"/>
          <w:szCs w:val="32"/>
          <w:shd w:val="clear" w:color="auto" w:fill="FFFFFF"/>
          <w:lang w:val="en-US" w:eastAsia="zh-CN" w:bidi="ar-SA"/>
        </w:rPr>
        <w:t>其中一般公共服务支出431.73万元，占28.63%；社会保障和就业支出68.21万元，占总支出的4.52%；卫生健康支出41.23万元，占总支出的2.73%；农林水支出823.75万元，占总支出的54.62%；住房保障支出137.92万元，占总支出的9.15%；灾害防治及应急管理支出5.2万元，占总支出的0.34%。</w:t>
      </w:r>
      <w:bookmarkStart w:id="129" w:name="_Toc25042"/>
      <w:bookmarkStart w:id="130" w:name="_Toc22038"/>
    </w:p>
    <w:p>
      <w:pPr>
        <w:spacing w:line="560" w:lineRule="exact"/>
        <w:ind w:firstLine="640" w:firstLineChars="200"/>
        <w:rPr>
          <w:rFonts w:hint="eastAsia" w:ascii="Times New Roman" w:hAnsi="Times New Roman" w:eastAsia="楷体"/>
          <w:sz w:val="32"/>
          <w:szCs w:val="24"/>
          <w:lang w:val="en-US"/>
        </w:rPr>
      </w:pPr>
      <w:bookmarkStart w:id="131" w:name="_Toc21728"/>
      <w:r>
        <w:rPr>
          <w:rFonts w:hint="eastAsia" w:ascii="Times New Roman" w:hAnsi="Times New Roman" w:eastAsia="楷体"/>
          <w:sz w:val="32"/>
          <w:szCs w:val="24"/>
          <w:lang w:val="en-US"/>
        </w:rPr>
        <w:t>三、部门整体绩效分析</w:t>
      </w:r>
      <w:bookmarkEnd w:id="129"/>
      <w:bookmarkEnd w:id="130"/>
      <w:bookmarkEnd w:id="131"/>
    </w:p>
    <w:p>
      <w:pPr>
        <w:spacing w:line="560" w:lineRule="exact"/>
        <w:ind w:firstLine="640" w:firstLineChars="200"/>
        <w:rPr>
          <w:rFonts w:hint="eastAsia" w:ascii="Times New Roman" w:hAnsi="Times New Roman" w:eastAsia="仿宋_GB2312"/>
          <w:sz w:val="32"/>
          <w:szCs w:val="24"/>
          <w:lang w:val="zh-CN"/>
        </w:rPr>
      </w:pPr>
      <w:bookmarkStart w:id="132" w:name="_Toc31880"/>
      <w:bookmarkStart w:id="133" w:name="_Toc8122"/>
      <w:r>
        <w:rPr>
          <w:rFonts w:hint="eastAsia" w:ascii="Times New Roman" w:hAnsi="Times New Roman" w:eastAsia="仿宋_GB2312"/>
          <w:sz w:val="32"/>
          <w:szCs w:val="24"/>
          <w:lang w:val="zh-CN"/>
        </w:rPr>
        <w:t>（一）部门预算项目绩效分析。</w:t>
      </w:r>
      <w:bookmarkEnd w:id="132"/>
      <w:bookmarkEnd w:id="133"/>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1.人员类项目绩效分析</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我单位在本年初严格按照2021年末实有人数，根据县财政的预算口径编制2022年年初预算，年初</w:t>
      </w:r>
      <w:r>
        <w:rPr>
          <w:rFonts w:hint="eastAsia" w:ascii="仿宋_GB2312" w:hAnsi="仿宋_GB2312" w:eastAsia="仿宋_GB2312" w:cs="仿宋_GB2312"/>
          <w:color w:val="000000"/>
          <w:sz w:val="32"/>
          <w:szCs w:val="32"/>
          <w:u w:val="none" w:color="FFFFFF"/>
          <w:shd w:val="clear" w:color="auto" w:fill="FFFFFF"/>
          <w:lang w:val="en-US" w:eastAsia="zh-CN" w:bidi="ar-SA"/>
        </w:rPr>
        <w:t>预算为</w:t>
      </w:r>
      <w:r>
        <w:rPr>
          <w:rFonts w:hint="eastAsia" w:ascii="仿宋_GB2312" w:hAnsi="仿宋_GB2312" w:eastAsia="仿宋_GB2312" w:cs="仿宋_GB2312"/>
          <w:color w:val="000000"/>
          <w:sz w:val="32"/>
          <w:szCs w:val="32"/>
          <w:shd w:val="clear" w:color="auto" w:fill="FFFFFF"/>
          <w:lang w:val="en-US" w:eastAsia="zh-CN" w:bidi="ar-SA"/>
        </w:rPr>
        <w:t>891.58万元。人员类经费年末</w:t>
      </w:r>
      <w:r>
        <w:rPr>
          <w:rFonts w:hint="eastAsia" w:ascii="仿宋_GB2312" w:hAnsi="仿宋_GB2312" w:eastAsia="仿宋_GB2312" w:cs="仿宋_GB2312"/>
          <w:color w:val="000000"/>
          <w:sz w:val="32"/>
          <w:szCs w:val="32"/>
          <w:u w:val="none" w:color="FFFFFF"/>
          <w:shd w:val="clear" w:color="auto" w:fill="FFFFFF"/>
          <w:lang w:val="en-US" w:eastAsia="zh-CN" w:bidi="ar-SA"/>
        </w:rPr>
        <w:t>调整数</w:t>
      </w:r>
      <w:r>
        <w:rPr>
          <w:rFonts w:hint="eastAsia" w:ascii="仿宋_GB2312" w:hAnsi="仿宋_GB2312" w:eastAsia="仿宋_GB2312" w:cs="仿宋_GB2312"/>
          <w:color w:val="000000"/>
          <w:sz w:val="32"/>
          <w:szCs w:val="32"/>
          <w:shd w:val="clear" w:color="auto" w:fill="FFFFFF"/>
          <w:lang w:val="en-US" w:eastAsia="zh-CN" w:bidi="ar-SA"/>
        </w:rPr>
        <w:t>862.68万元，因2022年期间有职工调离及一名老干部退休，所以</w:t>
      </w:r>
      <w:r>
        <w:rPr>
          <w:rFonts w:hint="eastAsia" w:ascii="仿宋_GB2312" w:hAnsi="仿宋_GB2312" w:eastAsia="仿宋_GB2312" w:cs="仿宋_GB2312"/>
          <w:color w:val="000000"/>
          <w:sz w:val="32"/>
          <w:szCs w:val="32"/>
          <w:u w:val="none" w:color="FFFFFF"/>
          <w:shd w:val="clear" w:color="auto" w:fill="FFFFFF"/>
          <w:lang w:val="en-US" w:eastAsia="zh-CN" w:bidi="ar-SA"/>
        </w:rPr>
        <w:t>人员类</w:t>
      </w:r>
      <w:r>
        <w:rPr>
          <w:rFonts w:hint="eastAsia" w:ascii="仿宋_GB2312" w:hAnsi="仿宋_GB2312" w:eastAsia="仿宋_GB2312" w:cs="仿宋_GB2312"/>
          <w:color w:val="000000"/>
          <w:sz w:val="32"/>
          <w:szCs w:val="32"/>
          <w:shd w:val="clear" w:color="auto" w:fill="FFFFFF"/>
          <w:lang w:val="en-US" w:eastAsia="zh-CN" w:bidi="ar-SA"/>
        </w:rPr>
        <w:t>经费年末调整数小于年初预算数。</w:t>
      </w:r>
      <w:r>
        <w:rPr>
          <w:rFonts w:hint="eastAsia" w:ascii="仿宋_GB2312" w:hAnsi="仿宋_GB2312" w:eastAsia="仿宋_GB2312" w:cs="仿宋_GB2312"/>
          <w:color w:val="000000"/>
          <w:sz w:val="32"/>
          <w:szCs w:val="32"/>
          <w:u w:val="none" w:color="FFFFFF"/>
          <w:shd w:val="clear" w:color="auto" w:fill="FFFFFF"/>
          <w:lang w:val="en-US" w:eastAsia="zh-CN" w:bidi="ar-SA"/>
        </w:rPr>
        <w:t>在2022年期间严格落实上级相关规定，严格控制人员类支出，严格按照执行进度开展工作，在遇到相关问题时及时与县财政联系，预算完成情况较好，无资金结余情况和违规记录等。</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2.运转类项目绩效分析</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我单位在本年初严格按照预算口径预算公用经费及其他运转类项目，年初</w:t>
      </w:r>
      <w:r>
        <w:rPr>
          <w:rFonts w:hint="eastAsia" w:ascii="仿宋_GB2312" w:hAnsi="仿宋_GB2312" w:eastAsia="仿宋_GB2312" w:cs="仿宋_GB2312"/>
          <w:color w:val="000000"/>
          <w:sz w:val="32"/>
          <w:szCs w:val="32"/>
          <w:u w:val="none" w:color="FFFFFF"/>
          <w:shd w:val="clear" w:color="auto" w:fill="FFFFFF"/>
          <w:lang w:val="en-US" w:eastAsia="zh-CN" w:bidi="ar-SA"/>
        </w:rPr>
        <w:t>预算数</w:t>
      </w:r>
      <w:r>
        <w:rPr>
          <w:rFonts w:hint="eastAsia" w:ascii="仿宋_GB2312" w:hAnsi="仿宋_GB2312" w:eastAsia="仿宋_GB2312" w:cs="仿宋_GB2312"/>
          <w:color w:val="000000"/>
          <w:sz w:val="32"/>
          <w:szCs w:val="32"/>
          <w:shd w:val="clear" w:color="auto" w:fill="FFFFFF"/>
          <w:lang w:val="en-US" w:eastAsia="zh-CN" w:bidi="ar-SA"/>
        </w:rPr>
        <w:t>147.44万元，年末</w:t>
      </w:r>
      <w:r>
        <w:rPr>
          <w:rFonts w:hint="eastAsia" w:ascii="仿宋_GB2312" w:hAnsi="仿宋_GB2312" w:eastAsia="仿宋_GB2312" w:cs="仿宋_GB2312"/>
          <w:color w:val="000000"/>
          <w:sz w:val="32"/>
          <w:szCs w:val="32"/>
          <w:u w:val="none" w:color="FFFFFF"/>
          <w:shd w:val="clear" w:color="auto" w:fill="FFFFFF"/>
          <w:lang w:val="en-US" w:eastAsia="zh-CN" w:bidi="ar-SA"/>
        </w:rPr>
        <w:t>调整数</w:t>
      </w:r>
      <w:r>
        <w:rPr>
          <w:rFonts w:hint="eastAsia" w:ascii="仿宋_GB2312" w:hAnsi="仿宋_GB2312" w:eastAsia="仿宋_GB2312" w:cs="仿宋_GB2312"/>
          <w:color w:val="000000"/>
          <w:sz w:val="32"/>
          <w:szCs w:val="32"/>
          <w:shd w:val="clear" w:color="auto" w:fill="FFFFFF"/>
          <w:lang w:val="en-US" w:eastAsia="zh-CN" w:bidi="ar-SA"/>
        </w:rPr>
        <w:t>155.5万元，在支出过程中严格按照预算执行，缩减经费，减少不必要的开支，每月按进度申报公用经费计划，预算完成率100%，无资金结余情况和违规记录等。</w:t>
      </w:r>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bidi="ar-SA"/>
        </w:rPr>
        <w:t>3.特定目标类项目绩效分析</w:t>
      </w:r>
    </w:p>
    <w:p>
      <w:pPr>
        <w:widowControl/>
        <w:autoSpaceDE/>
        <w:autoSpaceDN/>
        <w:snapToGrid w:val="0"/>
        <w:spacing w:line="560" w:lineRule="exact"/>
        <w:ind w:firstLine="640" w:firstLineChars="200"/>
        <w:rPr>
          <w:rFonts w:hint="default"/>
          <w:sz w:val="30"/>
          <w:szCs w:val="24"/>
          <w:lang w:val="en-US"/>
        </w:rPr>
      </w:pPr>
      <w:r>
        <w:rPr>
          <w:rFonts w:hint="eastAsia" w:ascii="仿宋_GB2312" w:hAnsi="仿宋_GB2312" w:eastAsia="仿宋_GB2312" w:cs="仿宋_GB2312"/>
          <w:color w:val="000000"/>
          <w:sz w:val="32"/>
          <w:szCs w:val="32"/>
          <w:u w:val="none" w:color="FFFFFF"/>
          <w:shd w:val="clear" w:color="auto" w:fill="FFFFFF"/>
          <w:lang w:val="en-US" w:eastAsia="zh-CN" w:bidi="ar-SA"/>
        </w:rPr>
        <w:t>我单位年初预算特定目标类项目资金49万元，年末预算调整489.85万元，在支出过程中严格按照预算执行，做到一项目一登记一入库，预算完成率100%，无资金结余情况和违规记录等。</w:t>
      </w:r>
    </w:p>
    <w:p>
      <w:pPr>
        <w:spacing w:line="560" w:lineRule="exact"/>
        <w:ind w:firstLine="640" w:firstLineChars="200"/>
        <w:rPr>
          <w:rFonts w:hint="eastAsia" w:ascii="Times New Roman" w:hAnsi="Times New Roman" w:eastAsia="仿宋_GB2312"/>
          <w:sz w:val="32"/>
          <w:szCs w:val="24"/>
          <w:lang w:val="zh-CN"/>
        </w:rPr>
      </w:pPr>
      <w:bookmarkStart w:id="134" w:name="_Toc23656"/>
      <w:bookmarkStart w:id="135" w:name="_Toc28984"/>
      <w:r>
        <w:rPr>
          <w:rFonts w:hint="eastAsia" w:ascii="Times New Roman" w:hAnsi="Times New Roman" w:eastAsia="仿宋_GB2312"/>
          <w:sz w:val="32"/>
          <w:szCs w:val="24"/>
          <w:lang w:val="zh-CN"/>
        </w:rPr>
        <w:t>（二）部门整体履职绩效分析。</w:t>
      </w:r>
      <w:bookmarkEnd w:id="134"/>
      <w:bookmarkEnd w:id="135"/>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en-US" w:eastAsia="zh-CN" w:bidi="ar-SA"/>
        </w:rPr>
        <w:t>2022年我镇收入预算总额为1508.04万元，支出预算1508.04万元，其中：基本支出1018.19万元，保障我镇机构正常运转的日常支出，包括基本工资、津贴补贴等人员经费以及办公费、印刷费、水电费、差旅费等日常公用经费、项目类支出489.85万元，保障了我镇基础设施建设、生产发展、环境治理等14个项目顺利进行。2022年，我镇围绕大局、服务中心，认真履行职能职责，基本完成了年初制定的各项指标任务。</w:t>
      </w:r>
    </w:p>
    <w:p>
      <w:pPr>
        <w:spacing w:line="560" w:lineRule="exact"/>
        <w:ind w:firstLine="640" w:firstLineChars="200"/>
        <w:rPr>
          <w:rFonts w:hint="eastAsia" w:ascii="Times New Roman" w:hAnsi="Times New Roman" w:eastAsia="仿宋_GB2312"/>
          <w:sz w:val="32"/>
          <w:szCs w:val="24"/>
          <w:lang w:val="zh-CN"/>
        </w:rPr>
      </w:pPr>
      <w:bookmarkStart w:id="136" w:name="_Toc12307"/>
      <w:bookmarkStart w:id="137" w:name="_Toc394"/>
      <w:r>
        <w:rPr>
          <w:rFonts w:hint="eastAsia" w:ascii="Times New Roman" w:hAnsi="Times New Roman" w:eastAsia="仿宋_GB2312"/>
          <w:sz w:val="32"/>
          <w:szCs w:val="24"/>
          <w:lang w:val="zh-CN"/>
        </w:rPr>
        <w:t>（三）结果应用情况。</w:t>
      </w:r>
      <w:bookmarkEnd w:id="136"/>
      <w:bookmarkEnd w:id="137"/>
    </w:p>
    <w:p>
      <w:pPr>
        <w:widowControl/>
        <w:autoSpaceDE/>
        <w:autoSpaceDN/>
        <w:snapToGrid w:val="0"/>
        <w:spacing w:line="560" w:lineRule="exact"/>
        <w:ind w:firstLine="640" w:firstLineChars="200"/>
        <w:rPr>
          <w:rFonts w:hint="eastAsia" w:ascii="仿宋_GB2312" w:hAnsi="仿宋_GB2312" w:eastAsia="仿宋_GB2312" w:cs="仿宋_GB2312"/>
          <w:color w:val="000000"/>
          <w:sz w:val="32"/>
          <w:szCs w:val="32"/>
          <w:shd w:val="clear" w:color="auto" w:fill="FFFFFF"/>
          <w:lang w:val="zh-CN" w:eastAsia="zh-CN" w:bidi="ar-SA"/>
        </w:rPr>
      </w:pPr>
      <w:r>
        <w:rPr>
          <w:rFonts w:hint="eastAsia" w:ascii="仿宋_GB2312" w:hAnsi="仿宋_GB2312" w:eastAsia="仿宋_GB2312" w:cs="仿宋_GB2312"/>
          <w:color w:val="000000"/>
          <w:sz w:val="32"/>
          <w:szCs w:val="32"/>
          <w:shd w:val="clear" w:color="auto" w:fill="FFFFFF"/>
          <w:lang w:val="zh-CN" w:eastAsia="zh-CN" w:bidi="ar-SA"/>
        </w:rPr>
        <w:t>对绩效评价结果为“优”的项目在</w:t>
      </w:r>
      <w:r>
        <w:rPr>
          <w:rFonts w:hint="eastAsia" w:ascii="仿宋_GB2312" w:hAnsi="仿宋_GB2312" w:eastAsia="仿宋_GB2312" w:cs="仿宋_GB2312"/>
          <w:color w:val="000000"/>
          <w:sz w:val="32"/>
          <w:szCs w:val="32"/>
          <w:shd w:val="clear" w:color="auto" w:fill="FFFFFF"/>
          <w:lang w:val="en-US" w:eastAsia="zh-CN" w:bidi="ar-SA"/>
        </w:rPr>
        <w:t>2022</w:t>
      </w:r>
      <w:r>
        <w:rPr>
          <w:rFonts w:hint="eastAsia" w:ascii="仿宋_GB2312" w:hAnsi="仿宋_GB2312" w:eastAsia="仿宋_GB2312" w:cs="仿宋_GB2312"/>
          <w:color w:val="000000"/>
          <w:sz w:val="32"/>
          <w:szCs w:val="32"/>
          <w:shd w:val="clear" w:color="auto" w:fill="FFFFFF"/>
          <w:lang w:val="zh-CN" w:eastAsia="zh-CN" w:bidi="ar-SA"/>
        </w:rPr>
        <w:t>年优先</w:t>
      </w:r>
      <w:r>
        <w:rPr>
          <w:rFonts w:hint="eastAsia" w:ascii="仿宋_GB2312" w:hAnsi="仿宋_GB2312" w:eastAsia="仿宋_GB2312" w:cs="仿宋_GB2312"/>
          <w:color w:val="000000"/>
          <w:sz w:val="32"/>
          <w:szCs w:val="32"/>
          <w:u w:val="none" w:color="FFFFFF"/>
          <w:shd w:val="clear" w:color="auto" w:fill="FFFFFF"/>
          <w:lang w:val="zh-CN" w:eastAsia="zh-CN" w:bidi="ar-SA"/>
        </w:rPr>
        <w:t>保障其</w:t>
      </w:r>
      <w:r>
        <w:rPr>
          <w:rFonts w:hint="eastAsia" w:ascii="仿宋_GB2312" w:hAnsi="仿宋_GB2312" w:eastAsia="仿宋_GB2312" w:cs="仿宋_GB2312"/>
          <w:color w:val="000000"/>
          <w:sz w:val="32"/>
          <w:szCs w:val="32"/>
          <w:shd w:val="clear" w:color="auto" w:fill="FFFFFF"/>
          <w:lang w:val="zh-CN" w:eastAsia="zh-CN" w:bidi="ar-SA"/>
        </w:rPr>
        <w:t>年度预算。</w:t>
      </w:r>
      <w:r>
        <w:rPr>
          <w:rFonts w:hint="eastAsia" w:ascii="仿宋_GB2312" w:hAnsi="仿宋_GB2312" w:eastAsia="仿宋_GB2312" w:cs="仿宋_GB2312"/>
          <w:color w:val="000000"/>
          <w:sz w:val="32"/>
          <w:szCs w:val="32"/>
          <w:shd w:val="clear" w:color="auto" w:fill="FFFFFF"/>
          <w:lang w:val="en-US" w:eastAsia="zh-CN" w:bidi="ar-SA"/>
        </w:rPr>
        <w:t>为了确保整体财政支出绩效目标效益最大化，我单位制订了工作计划，编制了工作方案，不断完善了各项管理制度，</w:t>
      </w:r>
      <w:r>
        <w:rPr>
          <w:rFonts w:hint="eastAsia" w:ascii="仿宋_GB2312" w:hAnsi="仿宋_GB2312" w:eastAsia="仿宋_GB2312" w:cs="仿宋_GB2312"/>
          <w:color w:val="000000"/>
          <w:sz w:val="32"/>
          <w:szCs w:val="32"/>
          <w:shd w:val="clear" w:color="auto" w:fill="FFFFFF"/>
          <w:lang w:val="zh-CN" w:eastAsia="zh-CN" w:bidi="ar-SA"/>
        </w:rPr>
        <w:t>并通过自评，找出存在的问题，并针对问题进行整改（如评价分值较低的指标，评价指标不科学、合理等），</w:t>
      </w:r>
      <w:r>
        <w:rPr>
          <w:rFonts w:hint="eastAsia" w:ascii="仿宋_GB2312" w:hAnsi="仿宋_GB2312" w:eastAsia="仿宋_GB2312" w:cs="仿宋_GB2312"/>
          <w:color w:val="000000"/>
          <w:sz w:val="32"/>
          <w:szCs w:val="32"/>
          <w:shd w:val="clear" w:color="auto" w:fill="FFFFFF"/>
          <w:lang w:val="en-US" w:eastAsia="zh-CN" w:bidi="ar-SA"/>
        </w:rPr>
        <w:t>确保管理工作科学化，高效化，每项财政资金都要按财政预算执行，资金审批支付严格按财务制度审批，压缩“三公经费”，节约开支，</w:t>
      </w:r>
      <w:r>
        <w:rPr>
          <w:rFonts w:hint="eastAsia" w:ascii="仿宋_GB2312" w:hAnsi="仿宋_GB2312" w:eastAsia="仿宋_GB2312" w:cs="仿宋_GB2312"/>
          <w:color w:val="000000"/>
          <w:sz w:val="32"/>
          <w:szCs w:val="32"/>
          <w:shd w:val="clear" w:color="auto" w:fill="FFFFFF"/>
          <w:lang w:val="zh-CN" w:eastAsia="zh-CN" w:bidi="ar-SA"/>
        </w:rPr>
        <w:t>保障机关、社区、村民委员会的正常运转；</w:t>
      </w:r>
      <w:r>
        <w:rPr>
          <w:rFonts w:hint="eastAsia" w:ascii="仿宋_GB2312" w:hAnsi="仿宋_GB2312" w:eastAsia="仿宋_GB2312" w:cs="仿宋_GB2312"/>
          <w:color w:val="000000"/>
          <w:sz w:val="32"/>
          <w:szCs w:val="32"/>
          <w:u w:val="none" w:color="FFFFFF"/>
          <w:shd w:val="clear" w:color="auto" w:fill="FFFFFF"/>
          <w:lang w:val="zh-CN" w:eastAsia="zh-CN" w:bidi="ar-SA"/>
        </w:rPr>
        <w:t>确保重点工程项目的顺利实施；</w:t>
      </w:r>
      <w:r>
        <w:rPr>
          <w:rFonts w:hint="eastAsia" w:ascii="仿宋_GB2312" w:hAnsi="仿宋_GB2312" w:eastAsia="仿宋_GB2312" w:cs="仿宋_GB2312"/>
          <w:color w:val="000000"/>
          <w:sz w:val="32"/>
          <w:szCs w:val="32"/>
          <w:shd w:val="clear" w:color="auto" w:fill="FFFFFF"/>
          <w:lang w:val="zh-CN" w:eastAsia="zh-CN" w:bidi="ar-SA"/>
        </w:rPr>
        <w:t>为民服务，发展地方经济，确保各项任务全面完成。</w:t>
      </w:r>
    </w:p>
    <w:p>
      <w:pPr>
        <w:spacing w:line="560" w:lineRule="exact"/>
        <w:ind w:firstLine="640" w:firstLineChars="200"/>
        <w:rPr>
          <w:rFonts w:hint="eastAsia" w:ascii="Times New Roman" w:hAnsi="Times New Roman" w:eastAsia="仿宋_GB2312"/>
          <w:sz w:val="32"/>
          <w:szCs w:val="24"/>
          <w:lang w:val="zh-CN"/>
        </w:rPr>
      </w:pPr>
      <w:bookmarkStart w:id="138" w:name="_Toc3811"/>
      <w:bookmarkStart w:id="139" w:name="_Toc21596"/>
      <w:r>
        <w:rPr>
          <w:rFonts w:hint="eastAsia" w:ascii="Times New Roman" w:hAnsi="Times New Roman" w:eastAsia="仿宋_GB2312"/>
          <w:sz w:val="32"/>
          <w:szCs w:val="24"/>
          <w:lang w:val="en-US"/>
        </w:rPr>
        <w:t>（四）</w:t>
      </w:r>
      <w:r>
        <w:rPr>
          <w:rFonts w:hint="eastAsia" w:ascii="Times New Roman" w:hAnsi="Times New Roman" w:eastAsia="仿宋_GB2312"/>
          <w:sz w:val="32"/>
          <w:szCs w:val="24"/>
          <w:lang w:val="zh-CN"/>
        </w:rPr>
        <w:t>自评质量。</w:t>
      </w:r>
      <w:bookmarkEnd w:id="138"/>
      <w:bookmarkEnd w:id="139"/>
    </w:p>
    <w:p>
      <w:pPr>
        <w:widowControl/>
        <w:autoSpaceDE/>
        <w:autoSpaceDN/>
        <w:snapToGrid w:val="0"/>
        <w:spacing w:line="560" w:lineRule="exact"/>
        <w:ind w:firstLine="640" w:firstLineChars="200"/>
        <w:rPr>
          <w:rFonts w:hint="eastAsia" w:ascii="仿宋" w:hAnsi="仿宋" w:eastAsia="仿宋" w:cs="Times New Roman"/>
          <w:color w:val="auto"/>
          <w:sz w:val="32"/>
          <w:szCs w:val="24"/>
          <w:lang w:val="en-US"/>
        </w:rPr>
      </w:pPr>
      <w:r>
        <w:rPr>
          <w:rFonts w:hint="eastAsia" w:ascii="仿宋_GB2312" w:hAnsi="仿宋_GB2312" w:eastAsia="仿宋_GB2312" w:cs="仿宋_GB2312"/>
          <w:color w:val="000000"/>
          <w:sz w:val="32"/>
          <w:szCs w:val="32"/>
          <w:shd w:val="clear" w:color="auto" w:fill="FFFFFF"/>
          <w:lang w:val="en-US" w:eastAsia="zh-CN" w:bidi="ar-SA"/>
        </w:rPr>
        <w:t>我镇党委政府从项目组织架构及实施流程、管理、监管</w:t>
      </w:r>
      <w:r>
        <w:rPr>
          <w:rFonts w:hint="eastAsia" w:ascii="仿宋_GB2312" w:hAnsi="仿宋_GB2312" w:eastAsia="仿宋_GB2312" w:cs="仿宋_GB2312"/>
          <w:color w:val="000000"/>
          <w:sz w:val="32"/>
          <w:szCs w:val="32"/>
          <w:u w:val="none" w:color="FFFFFF"/>
          <w:shd w:val="clear" w:color="auto" w:fill="FFFFFF"/>
          <w:lang w:val="en-US" w:eastAsia="zh-CN" w:bidi="ar-SA"/>
        </w:rPr>
        <w:t>等</w:t>
      </w:r>
      <w:r>
        <w:rPr>
          <w:rFonts w:hint="eastAsia" w:ascii="仿宋_GB2312" w:hAnsi="仿宋_GB2312" w:eastAsia="仿宋_GB2312" w:cs="仿宋_GB2312"/>
          <w:color w:val="000000"/>
          <w:sz w:val="32"/>
          <w:szCs w:val="32"/>
          <w:shd w:val="clear" w:color="auto" w:fill="FFFFFF"/>
          <w:lang w:val="en-US" w:eastAsia="zh-CN" w:bidi="ar-SA"/>
        </w:rPr>
        <w:t>全方面把控施工质量，以确保项目工程能够保质保量的完成。同时对资金的使用严格按照财务制度，规范各项经费的开支。根据项目支出的性质、范围、用途，坚持专款专用，严禁挤占挪用。</w:t>
      </w:r>
    </w:p>
    <w:p>
      <w:pPr>
        <w:spacing w:line="560" w:lineRule="exact"/>
        <w:ind w:firstLine="640" w:firstLineChars="200"/>
        <w:rPr>
          <w:rFonts w:hint="eastAsia" w:ascii="Times New Roman" w:hAnsi="Times New Roman" w:eastAsia="楷体"/>
          <w:sz w:val="32"/>
          <w:szCs w:val="24"/>
          <w:lang w:val="en-US"/>
        </w:rPr>
      </w:pPr>
      <w:bookmarkStart w:id="140" w:name="_Toc24083"/>
      <w:bookmarkStart w:id="141" w:name="_Toc1501"/>
      <w:bookmarkStart w:id="142" w:name="_Toc30631"/>
      <w:r>
        <w:rPr>
          <w:rFonts w:hint="eastAsia" w:ascii="Times New Roman" w:hAnsi="Times New Roman" w:eastAsia="楷体"/>
          <w:sz w:val="32"/>
          <w:szCs w:val="24"/>
          <w:lang w:val="en-US"/>
        </w:rPr>
        <w:t>四、评价结论及建议</w:t>
      </w:r>
      <w:bookmarkEnd w:id="140"/>
      <w:bookmarkEnd w:id="141"/>
      <w:bookmarkEnd w:id="142"/>
    </w:p>
    <w:p>
      <w:pPr>
        <w:spacing w:line="560" w:lineRule="exact"/>
        <w:ind w:firstLine="640" w:firstLineChars="200"/>
        <w:rPr>
          <w:rFonts w:hint="eastAsia" w:ascii="Times New Roman" w:hAnsi="Times New Roman" w:eastAsia="仿宋_GB2312"/>
          <w:sz w:val="32"/>
          <w:szCs w:val="24"/>
          <w:lang w:val="zh-CN"/>
        </w:rPr>
      </w:pPr>
      <w:bookmarkStart w:id="143" w:name="_Toc8172"/>
      <w:bookmarkStart w:id="144" w:name="_Toc30219"/>
      <w:r>
        <w:rPr>
          <w:rFonts w:hint="eastAsia" w:ascii="Times New Roman" w:hAnsi="Times New Roman" w:eastAsia="仿宋_GB2312"/>
          <w:sz w:val="32"/>
          <w:szCs w:val="24"/>
          <w:lang w:val="zh-CN"/>
        </w:rPr>
        <w:t>（一）评价结论。</w:t>
      </w:r>
      <w:bookmarkEnd w:id="143"/>
      <w:bookmarkEnd w:id="144"/>
    </w:p>
    <w:p>
      <w:pPr>
        <w:widowControl/>
        <w:autoSpaceDE/>
        <w:autoSpaceDN/>
        <w:snapToGrid w:val="0"/>
        <w:spacing w:line="560" w:lineRule="exact"/>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Times New Roman"/>
          <w:color w:val="auto"/>
          <w:sz w:val="32"/>
          <w:szCs w:val="24"/>
          <w:lang w:val="en-US" w:eastAsia="zh-CN"/>
        </w:rPr>
        <w:t>我镇整体绩效评价综合</w:t>
      </w:r>
      <w:r>
        <w:rPr>
          <w:rFonts w:hint="eastAsia" w:ascii="仿宋" w:hAnsi="仿宋" w:eastAsia="仿宋" w:cs="Times New Roman"/>
          <w:color w:val="auto"/>
          <w:sz w:val="32"/>
          <w:szCs w:val="24"/>
          <w:u w:val="none" w:color="FFFFFF"/>
          <w:shd w:val="clear" w:fill="FFFFFF"/>
          <w:lang w:val="en-US" w:eastAsia="zh-CN"/>
        </w:rPr>
        <w:t>得分为</w:t>
      </w:r>
      <w:r>
        <w:rPr>
          <w:rFonts w:hint="eastAsia" w:ascii="仿宋" w:hAnsi="仿宋" w:eastAsia="仿宋" w:cs="Times New Roman"/>
          <w:color w:val="auto"/>
          <w:sz w:val="32"/>
          <w:szCs w:val="24"/>
          <w:lang w:val="en-US" w:eastAsia="zh-CN"/>
        </w:rPr>
        <w:t>97分。2022年，我镇严格按照年初预算批复认真组织实施</w:t>
      </w:r>
      <w:r>
        <w:rPr>
          <w:rFonts w:hint="eastAsia" w:ascii="仿宋" w:hAnsi="仿宋" w:eastAsia="仿宋" w:cs="Times New Roman"/>
          <w:color w:val="auto"/>
          <w:sz w:val="32"/>
          <w:szCs w:val="24"/>
          <w:u w:val="none" w:color="FFFFFF"/>
          <w:shd w:val="clear" w:fill="FFFFFF"/>
          <w:lang w:val="en-US" w:eastAsia="zh-CN"/>
        </w:rPr>
        <w:t>，</w:t>
      </w:r>
      <w:r>
        <w:rPr>
          <w:rFonts w:hint="eastAsia" w:ascii="仿宋" w:hAnsi="仿宋" w:eastAsia="仿宋" w:cs="Times New Roman"/>
          <w:color w:val="auto"/>
          <w:sz w:val="32"/>
          <w:szCs w:val="24"/>
          <w:lang w:val="en-US" w:eastAsia="zh-CN"/>
        </w:rPr>
        <w:t>7严格执行财经纪律相关管理规定，做到各项收支安排使用符合事业发展计划和财政政策的要求，确保了单位正常运行和重大项目的实施，较好地完成了</w:t>
      </w:r>
      <w:r>
        <w:rPr>
          <w:rFonts w:hint="eastAsia" w:ascii="仿宋" w:hAnsi="仿宋" w:eastAsia="仿宋" w:cs="仿宋"/>
          <w:color w:val="000000"/>
          <w:sz w:val="32"/>
          <w:szCs w:val="32"/>
          <w:shd w:val="clear" w:color="auto" w:fill="FFFFFF"/>
          <w:lang w:val="en-US" w:eastAsia="zh-CN"/>
        </w:rPr>
        <w:t>2022年部门预算编制和决算汇总工作</w:t>
      </w:r>
      <w:r>
        <w:rPr>
          <w:rFonts w:hint="eastAsia" w:ascii="仿宋" w:hAnsi="仿宋" w:eastAsia="仿宋" w:cs="仿宋"/>
          <w:color w:val="000000"/>
          <w:sz w:val="32"/>
          <w:szCs w:val="32"/>
          <w:u w:val="none" w:color="FFFFFF"/>
          <w:shd w:val="clear" w:color="auto" w:fill="FFFFFF"/>
          <w:lang w:val="en-US" w:eastAsia="zh-CN"/>
        </w:rPr>
        <w:t>，</w:t>
      </w:r>
      <w:r>
        <w:rPr>
          <w:rFonts w:hint="eastAsia" w:ascii="仿宋" w:hAnsi="仿宋" w:eastAsia="仿宋" w:cs="仿宋"/>
          <w:color w:val="000000"/>
          <w:sz w:val="32"/>
          <w:szCs w:val="32"/>
          <w:shd w:val="clear" w:color="auto" w:fill="FFFFFF"/>
          <w:lang w:val="en-US" w:eastAsia="zh-CN"/>
        </w:rPr>
        <w:t xml:space="preserve"> 2022年目标任务基本完成，预算执行情况较好。</w:t>
      </w:r>
      <w:bookmarkStart w:id="145" w:name="_Toc20383"/>
      <w:bookmarkStart w:id="146" w:name="_Toc13657"/>
    </w:p>
    <w:p>
      <w:pPr>
        <w:widowControl/>
        <w:autoSpaceDE/>
        <w:autoSpaceDN/>
        <w:snapToGrid w:val="0"/>
        <w:spacing w:line="560" w:lineRule="exact"/>
        <w:ind w:firstLine="640" w:firstLineChars="200"/>
        <w:rPr>
          <w:rFonts w:hint="eastAsia" w:ascii="Times New Roman" w:hAnsi="Times New Roman" w:eastAsia="仿宋_GB2312"/>
          <w:sz w:val="32"/>
          <w:szCs w:val="24"/>
          <w:lang w:val="zh-CN"/>
        </w:rPr>
      </w:pPr>
      <w:r>
        <w:rPr>
          <w:rFonts w:hint="eastAsia" w:ascii="Times New Roman" w:hAnsi="Times New Roman" w:eastAsia="仿宋_GB2312"/>
          <w:sz w:val="32"/>
          <w:szCs w:val="24"/>
          <w:u w:val="none" w:color="auto"/>
          <w:lang w:val="zh-CN"/>
        </w:rPr>
        <w:t>（二）</w:t>
      </w:r>
      <w:r>
        <w:rPr>
          <w:rFonts w:hint="eastAsia" w:ascii="Times New Roman" w:hAnsi="Times New Roman" w:eastAsia="仿宋_GB2312"/>
          <w:sz w:val="32"/>
          <w:szCs w:val="24"/>
          <w:lang w:val="zh-CN"/>
        </w:rPr>
        <w:t>存在问题。</w:t>
      </w:r>
      <w:bookmarkEnd w:id="145"/>
      <w:bookmarkEnd w:id="146"/>
    </w:p>
    <w:p>
      <w:pPr>
        <w:widowControl/>
        <w:autoSpaceDE/>
        <w:autoSpaceDN/>
        <w:snapToGrid w:val="0"/>
        <w:spacing w:line="560" w:lineRule="exact"/>
        <w:ind w:firstLine="640" w:firstLineChars="200"/>
        <w:rPr>
          <w:rFonts w:hint="eastAsia" w:ascii="仿宋" w:hAnsi="仿宋" w:eastAsia="仿宋" w:cs="仿宋"/>
          <w:color w:val="000000"/>
          <w:sz w:val="32"/>
          <w:szCs w:val="32"/>
          <w:shd w:val="clear" w:color="auto" w:fill="FFFFFF"/>
          <w:lang w:val="zh-CN"/>
        </w:rPr>
      </w:pPr>
      <w:r>
        <w:rPr>
          <w:rFonts w:hint="eastAsia" w:ascii="仿宋" w:hAnsi="仿宋" w:eastAsia="仿宋" w:cs="仿宋"/>
          <w:color w:val="000000"/>
          <w:sz w:val="32"/>
          <w:szCs w:val="32"/>
          <w:u w:val="none" w:color="FFFFFF"/>
          <w:shd w:val="clear" w:color="auto" w:fill="FFFFFF"/>
          <w:lang w:val="zh-CN"/>
        </w:rPr>
        <w:t>一是财政总体实力弱、镇经济基础薄弱；</w:t>
      </w:r>
    </w:p>
    <w:p>
      <w:pPr>
        <w:widowControl/>
        <w:autoSpaceDE/>
        <w:autoSpaceDN/>
        <w:snapToGrid w:val="0"/>
        <w:spacing w:line="560" w:lineRule="exact"/>
        <w:ind w:firstLine="640" w:firstLineChars="200"/>
        <w:rPr>
          <w:rFonts w:hint="eastAsia" w:ascii="仿宋" w:hAnsi="仿宋" w:eastAsia="仿宋" w:cs="仿宋"/>
          <w:color w:val="000000"/>
          <w:sz w:val="32"/>
          <w:szCs w:val="32"/>
          <w:shd w:val="clear" w:color="auto" w:fill="FFFFFF"/>
          <w:lang w:val="zh-CN"/>
        </w:rPr>
      </w:pPr>
      <w:r>
        <w:rPr>
          <w:rFonts w:hint="eastAsia" w:ascii="仿宋" w:hAnsi="仿宋" w:eastAsia="仿宋" w:cs="仿宋"/>
          <w:color w:val="000000"/>
          <w:sz w:val="32"/>
          <w:szCs w:val="32"/>
          <w:shd w:val="clear" w:color="auto" w:fill="FFFFFF"/>
          <w:lang w:val="zh-CN"/>
        </w:rPr>
        <w:t>二是财源收入结构单一，收入来源主要靠上级补助收入，无</w:t>
      </w:r>
      <w:r>
        <w:rPr>
          <w:rFonts w:hint="eastAsia" w:ascii="仿宋" w:hAnsi="仿宋" w:eastAsia="仿宋" w:cs="仿宋"/>
          <w:color w:val="000000"/>
          <w:sz w:val="32"/>
          <w:szCs w:val="32"/>
          <w:shd w:val="clear" w:color="auto" w:fill="FFFFFF"/>
          <w:lang w:val="zh-CN" w:eastAsia="zh-CN"/>
        </w:rPr>
        <w:t>稳定的</w:t>
      </w:r>
      <w:r>
        <w:rPr>
          <w:rFonts w:hint="eastAsia" w:ascii="仿宋" w:hAnsi="仿宋" w:eastAsia="仿宋" w:cs="仿宋"/>
          <w:color w:val="000000"/>
          <w:sz w:val="32"/>
          <w:szCs w:val="32"/>
          <w:u w:val="none" w:color="FFFFFF"/>
          <w:shd w:val="clear" w:color="auto" w:fill="FFFFFF"/>
          <w:lang w:val="zh-CN"/>
        </w:rPr>
        <w:t>项目收入</w:t>
      </w:r>
      <w:r>
        <w:rPr>
          <w:rFonts w:hint="eastAsia" w:ascii="仿宋" w:hAnsi="仿宋" w:eastAsia="仿宋" w:cs="仿宋"/>
          <w:color w:val="000000"/>
          <w:sz w:val="32"/>
          <w:szCs w:val="32"/>
          <w:shd w:val="clear" w:color="auto" w:fill="FFFFFF"/>
          <w:lang w:val="zh-CN"/>
        </w:rPr>
        <w:t>、产业收入；</w:t>
      </w:r>
    </w:p>
    <w:p>
      <w:pPr>
        <w:widowControl/>
        <w:autoSpaceDE/>
        <w:autoSpaceDN/>
        <w:snapToGrid w:val="0"/>
        <w:spacing w:line="560" w:lineRule="exact"/>
        <w:ind w:firstLine="640" w:firstLineChars="200"/>
        <w:rPr>
          <w:rFonts w:hint="default"/>
          <w:color w:val="auto"/>
          <w:sz w:val="30"/>
          <w:szCs w:val="24"/>
          <w:lang w:val="zh-CN"/>
        </w:rPr>
      </w:pPr>
      <w:r>
        <w:rPr>
          <w:rFonts w:hint="eastAsia" w:ascii="仿宋" w:hAnsi="仿宋" w:eastAsia="仿宋" w:cs="仿宋"/>
          <w:color w:val="000000"/>
          <w:sz w:val="32"/>
          <w:szCs w:val="32"/>
          <w:shd w:val="clear" w:color="auto" w:fill="FFFFFF"/>
          <w:lang w:val="zh-CN"/>
        </w:rPr>
        <w:t>三是财政抵御风险能力差，收支平衡难度大，财政状况比较艰难</w:t>
      </w:r>
      <w:r>
        <w:rPr>
          <w:rFonts w:hint="eastAsia" w:ascii="仿宋" w:hAnsi="仿宋" w:eastAsia="仿宋" w:cs="仿宋"/>
          <w:color w:val="000000"/>
          <w:sz w:val="32"/>
          <w:szCs w:val="32"/>
          <w:shd w:val="clear" w:color="auto" w:fill="FFFFFF"/>
          <w:lang w:val="en-US" w:eastAsia="zh-CN"/>
        </w:rPr>
        <w:t>，</w:t>
      </w:r>
      <w:r>
        <w:rPr>
          <w:rFonts w:hint="eastAsia" w:ascii="仿宋" w:hAnsi="仿宋" w:eastAsia="仿宋" w:cs="仿宋"/>
          <w:color w:val="000000"/>
          <w:sz w:val="32"/>
          <w:szCs w:val="32"/>
          <w:shd w:val="clear" w:color="auto" w:fill="FFFFFF"/>
          <w:lang w:val="zh-CN"/>
        </w:rPr>
        <w:t>支出结构有待调整优化</w:t>
      </w:r>
      <w:r>
        <w:rPr>
          <w:rFonts w:hint="eastAsia" w:ascii="仿宋" w:hAnsi="仿宋" w:eastAsia="仿宋" w:cs="仿宋"/>
          <w:color w:val="000000"/>
          <w:sz w:val="32"/>
          <w:szCs w:val="32"/>
          <w:shd w:val="clear" w:color="auto" w:fill="FFFFFF"/>
          <w:lang w:val="en-US" w:eastAsia="zh-CN"/>
        </w:rPr>
        <w:t>，</w:t>
      </w:r>
      <w:r>
        <w:rPr>
          <w:rFonts w:hint="eastAsia" w:ascii="仿宋" w:hAnsi="仿宋" w:eastAsia="仿宋" w:cs="仿宋"/>
          <w:color w:val="000000"/>
          <w:sz w:val="32"/>
          <w:szCs w:val="32"/>
          <w:shd w:val="clear" w:color="auto" w:fill="FFFFFF"/>
          <w:lang w:val="zh-CN"/>
        </w:rPr>
        <w:t>预算绩效管理质量有待提高等。</w:t>
      </w:r>
    </w:p>
    <w:p>
      <w:pPr>
        <w:numPr>
          <w:ilvl w:val="0"/>
          <w:numId w:val="0"/>
        </w:numPr>
        <w:spacing w:line="560" w:lineRule="exact"/>
        <w:ind w:firstLine="640" w:firstLineChars="200"/>
        <w:rPr>
          <w:rFonts w:hint="eastAsia" w:ascii="Times New Roman" w:hAnsi="Times New Roman" w:eastAsia="仿宋_GB2312"/>
          <w:sz w:val="32"/>
          <w:szCs w:val="24"/>
          <w:lang w:val="zh-CN"/>
        </w:rPr>
      </w:pPr>
      <w:bookmarkStart w:id="147" w:name="_Toc15448"/>
      <w:bookmarkStart w:id="148" w:name="_Toc2107"/>
      <w:r>
        <w:rPr>
          <w:rFonts w:hint="eastAsia" w:ascii="Times New Roman" w:hAnsi="Times New Roman" w:eastAsia="仿宋_GB2312"/>
          <w:sz w:val="32"/>
          <w:szCs w:val="24"/>
          <w:u w:val="none" w:color="auto"/>
          <w:lang w:val="zh-CN"/>
        </w:rPr>
        <w:t>（三）</w:t>
      </w:r>
      <w:r>
        <w:rPr>
          <w:rFonts w:hint="eastAsia" w:ascii="Times New Roman" w:hAnsi="Times New Roman" w:eastAsia="仿宋_GB2312"/>
          <w:sz w:val="32"/>
          <w:szCs w:val="24"/>
          <w:lang w:val="zh-CN"/>
        </w:rPr>
        <w:t>改进建议。</w:t>
      </w:r>
      <w:bookmarkEnd w:id="147"/>
      <w:bookmarkEnd w:id="148"/>
    </w:p>
    <w:p>
      <w:pPr>
        <w:widowControl/>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en-US" w:eastAsia="zh-CN"/>
        </w:rPr>
        <w:t>针对上述存在的问题及日常管理工作的需要，拟实施的改进措施如下：</w:t>
      </w:r>
    </w:p>
    <w:p>
      <w:pPr>
        <w:widowControl/>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en-US" w:eastAsia="zh-CN"/>
        </w:rPr>
        <w:t>1.细化预算编制工作，认真做好预算的</w:t>
      </w:r>
      <w:r>
        <w:rPr>
          <w:rFonts w:hint="eastAsia" w:ascii="仿宋" w:hAnsi="仿宋" w:eastAsia="仿宋" w:cs="Times New Roman"/>
          <w:color w:val="auto"/>
          <w:sz w:val="32"/>
          <w:szCs w:val="24"/>
          <w:u w:val="none" w:color="FFFFFF"/>
          <w:shd w:val="clear" w:fill="FFFFFF"/>
          <w:lang w:val="en-US" w:eastAsia="zh-CN"/>
        </w:rPr>
        <w:t>编制工作。</w:t>
      </w:r>
      <w:r>
        <w:rPr>
          <w:rFonts w:hint="eastAsia" w:ascii="仿宋" w:hAnsi="仿宋" w:eastAsia="仿宋" w:cs="Times New Roman"/>
          <w:color w:val="auto"/>
          <w:sz w:val="32"/>
          <w:szCs w:val="24"/>
          <w:lang w:val="en-US" w:eastAsia="zh-CN"/>
        </w:rPr>
        <w:t>进一步提高预算编制的科学性、严谨性和可控性。</w:t>
      </w:r>
    </w:p>
    <w:p>
      <w:pPr>
        <w:widowControl/>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en-US" w:eastAsia="zh-CN"/>
        </w:rPr>
        <w:t>2.加强财务管理，严格财务审核。</w:t>
      </w:r>
    </w:p>
    <w:p>
      <w:pPr>
        <w:widowControl/>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en-US" w:eastAsia="zh-CN"/>
        </w:rPr>
        <w:t>3.完善资产管理，抓好“三公”经费控制。</w:t>
      </w:r>
      <w:r>
        <w:rPr>
          <w:rFonts w:hint="eastAsia" w:ascii="仿宋" w:hAnsi="仿宋" w:eastAsia="仿宋" w:cs="Times New Roman"/>
          <w:color w:val="auto"/>
          <w:sz w:val="32"/>
          <w:szCs w:val="24"/>
          <w:u w:val="none" w:color="FFFFFF"/>
          <w:shd w:val="clear" w:fill="FFFFFF"/>
          <w:lang w:val="en-US" w:eastAsia="zh-CN"/>
        </w:rPr>
        <w:t>严格编制政府采购年初预算和计划，规范各类资产的购置审批制度、资产采购制度、资产处置和报废审批制度等，加强单位内部的资产管理工作。</w:t>
      </w:r>
      <w:r>
        <w:rPr>
          <w:rFonts w:hint="eastAsia" w:ascii="仿宋" w:hAnsi="仿宋" w:eastAsia="仿宋" w:cs="Times New Roman"/>
          <w:color w:val="auto"/>
          <w:sz w:val="32"/>
          <w:szCs w:val="24"/>
          <w:lang w:val="en-US" w:eastAsia="zh-CN"/>
        </w:rPr>
        <w:t>进一步细化“三公”经费的管理，合理压缩“三公”经费支出。</w:t>
      </w:r>
    </w:p>
    <w:p>
      <w:pPr>
        <w:widowControl/>
        <w:autoSpaceDE/>
        <w:autoSpaceDN/>
        <w:snapToGrid w:val="0"/>
        <w:spacing w:line="560" w:lineRule="exact"/>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4.对相关人员加强培训，切实提高财政所人员业务水平。</w:t>
      </w:r>
    </w:p>
    <w:p>
      <w:pPr>
        <w:spacing w:line="560" w:lineRule="exact"/>
        <w:ind w:firstLine="640" w:firstLineChars="200"/>
        <w:rPr>
          <w:rFonts w:hint="eastAsia" w:ascii="Times New Roman" w:hAnsi="Times New Roman" w:eastAsia="黑体"/>
          <w:sz w:val="32"/>
          <w:szCs w:val="24"/>
          <w:lang w:val="zh-CN"/>
        </w:rPr>
      </w:pPr>
      <w:bookmarkStart w:id="149" w:name="_Toc2295"/>
      <w:bookmarkStart w:id="150" w:name="_Toc845"/>
    </w:p>
    <w:p>
      <w:pPr>
        <w:spacing w:line="560" w:lineRule="exact"/>
        <w:ind w:firstLine="640" w:firstLineChars="200"/>
        <w:rPr>
          <w:rFonts w:hint="eastAsia" w:ascii="Times New Roman" w:hAnsi="Times New Roman" w:eastAsia="黑体"/>
          <w:sz w:val="32"/>
          <w:szCs w:val="24"/>
          <w:lang w:val="zh-CN"/>
        </w:rPr>
      </w:pPr>
    </w:p>
    <w:p>
      <w:pPr>
        <w:spacing w:line="560" w:lineRule="exact"/>
        <w:ind w:firstLine="640" w:firstLineChars="200"/>
        <w:rPr>
          <w:rFonts w:hint="eastAsia" w:ascii="Times New Roman" w:hAnsi="Times New Roman" w:eastAsia="黑体"/>
          <w:sz w:val="32"/>
          <w:szCs w:val="24"/>
          <w:lang w:val="zh-CN"/>
        </w:rPr>
      </w:pPr>
    </w:p>
    <w:p>
      <w:pPr>
        <w:spacing w:line="560" w:lineRule="exact"/>
        <w:ind w:firstLine="640" w:firstLineChars="200"/>
        <w:rPr>
          <w:rFonts w:hint="eastAsia" w:ascii="Times New Roman" w:hAnsi="Times New Roman" w:eastAsia="黑体"/>
          <w:sz w:val="32"/>
          <w:szCs w:val="24"/>
          <w:lang w:val="zh-CN"/>
        </w:rPr>
      </w:pPr>
    </w:p>
    <w:p>
      <w:pPr>
        <w:spacing w:line="560" w:lineRule="exact"/>
        <w:ind w:firstLine="640" w:firstLineChars="200"/>
        <w:rPr>
          <w:rFonts w:hint="eastAsia" w:ascii="Times New Roman" w:hAnsi="Times New Roman" w:eastAsia="黑体"/>
          <w:sz w:val="32"/>
          <w:szCs w:val="24"/>
          <w:lang w:val="en-US"/>
        </w:rPr>
      </w:pPr>
      <w:bookmarkStart w:id="151" w:name="_Toc8492"/>
      <w:r>
        <w:rPr>
          <w:rFonts w:hint="eastAsia" w:ascii="Times New Roman" w:hAnsi="Times New Roman" w:eastAsia="黑体"/>
          <w:sz w:val="32"/>
          <w:szCs w:val="24"/>
          <w:lang w:val="zh-CN"/>
        </w:rPr>
        <w:t>附件</w:t>
      </w:r>
      <w:r>
        <w:rPr>
          <w:rFonts w:hint="eastAsia" w:ascii="Times New Roman" w:hAnsi="Times New Roman" w:eastAsia="黑体"/>
          <w:sz w:val="32"/>
          <w:szCs w:val="24"/>
          <w:lang w:val="en-US"/>
        </w:rPr>
        <w:t>2</w:t>
      </w:r>
      <w:bookmarkEnd w:id="149"/>
      <w:bookmarkEnd w:id="150"/>
      <w:bookmarkEnd w:id="151"/>
    </w:p>
    <w:p>
      <w:pPr>
        <w:spacing w:line="560" w:lineRule="exact"/>
        <w:ind w:firstLine="640" w:firstLineChars="200"/>
        <w:jc w:val="center"/>
        <w:rPr>
          <w:rFonts w:hint="eastAsia" w:ascii="Times New Roman" w:hAnsi="Times New Roman" w:eastAsia="黑体"/>
          <w:sz w:val="32"/>
          <w:szCs w:val="24"/>
          <w:lang w:val="en-US"/>
        </w:rPr>
      </w:pPr>
      <w:bookmarkStart w:id="152" w:name="_Toc6137"/>
      <w:bookmarkStart w:id="153" w:name="_Toc1171"/>
      <w:bookmarkStart w:id="154" w:name="_Toc27002"/>
      <w:r>
        <w:rPr>
          <w:rFonts w:hint="eastAsia" w:ascii="Times New Roman" w:hAnsi="Times New Roman" w:eastAsia="黑体"/>
          <w:sz w:val="32"/>
          <w:szCs w:val="24"/>
          <w:lang w:val="en-US"/>
        </w:rPr>
        <w:t>通江县板桥口镇人民政府</w:t>
      </w:r>
      <w:bookmarkEnd w:id="152"/>
      <w:bookmarkEnd w:id="153"/>
      <w:bookmarkEnd w:id="154"/>
    </w:p>
    <w:p>
      <w:pPr>
        <w:spacing w:line="560" w:lineRule="exact"/>
        <w:ind w:firstLine="640" w:firstLineChars="200"/>
        <w:jc w:val="center"/>
        <w:rPr>
          <w:rFonts w:hint="eastAsia" w:ascii="Times New Roman" w:hAnsi="Times New Roman" w:eastAsia="黑体"/>
          <w:sz w:val="32"/>
          <w:szCs w:val="24"/>
          <w:lang w:val="en-US"/>
        </w:rPr>
      </w:pPr>
      <w:bookmarkStart w:id="155" w:name="_Toc17854"/>
      <w:bookmarkStart w:id="156" w:name="_Toc32579"/>
      <w:bookmarkStart w:id="157" w:name="_Toc4779"/>
      <w:r>
        <w:rPr>
          <w:rFonts w:hint="eastAsia" w:ascii="Times New Roman" w:hAnsi="Times New Roman" w:eastAsia="黑体"/>
          <w:sz w:val="32"/>
          <w:szCs w:val="24"/>
          <w:lang w:val="en-US"/>
        </w:rPr>
        <w:t>关于富硒肉兔产业发展资金预算项目绩效</w:t>
      </w:r>
      <w:bookmarkEnd w:id="155"/>
      <w:bookmarkEnd w:id="156"/>
      <w:bookmarkEnd w:id="157"/>
    </w:p>
    <w:p>
      <w:pPr>
        <w:spacing w:line="560" w:lineRule="exact"/>
        <w:ind w:firstLine="640" w:firstLineChars="200"/>
        <w:jc w:val="center"/>
        <w:rPr>
          <w:rFonts w:hint="eastAsia" w:ascii="Times New Roman" w:hAnsi="Times New Roman" w:eastAsia="黑体"/>
          <w:sz w:val="32"/>
          <w:szCs w:val="24"/>
          <w:lang w:val="en-US"/>
        </w:rPr>
      </w:pPr>
      <w:bookmarkStart w:id="158" w:name="_Toc29604"/>
      <w:bookmarkStart w:id="159" w:name="_Toc7676"/>
      <w:bookmarkStart w:id="160" w:name="_Toc24248"/>
      <w:r>
        <w:rPr>
          <w:rFonts w:hint="eastAsia" w:ascii="Times New Roman" w:hAnsi="Times New Roman" w:eastAsia="黑体"/>
          <w:sz w:val="32"/>
          <w:szCs w:val="24"/>
          <w:lang w:val="en-US"/>
        </w:rPr>
        <w:t>自评报告</w:t>
      </w:r>
      <w:bookmarkEnd w:id="158"/>
      <w:bookmarkEnd w:id="159"/>
      <w:bookmarkEnd w:id="160"/>
    </w:p>
    <w:p>
      <w:pPr>
        <w:pStyle w:val="21"/>
        <w:autoSpaceDE/>
        <w:autoSpaceDN/>
        <w:spacing w:line="560" w:lineRule="exact"/>
        <w:ind w:firstLine="640" w:firstLineChars="200"/>
        <w:jc w:val="center"/>
        <w:rPr>
          <w:rFonts w:hint="eastAsia" w:ascii="宋体" w:hAnsi="宋体"/>
          <w:color w:val="auto"/>
          <w:kern w:val="2"/>
          <w:sz w:val="32"/>
          <w:szCs w:val="24"/>
        </w:rPr>
      </w:pPr>
    </w:p>
    <w:p>
      <w:pPr>
        <w:spacing w:line="560" w:lineRule="exact"/>
        <w:ind w:firstLine="640" w:firstLineChars="200"/>
        <w:rPr>
          <w:rFonts w:hint="eastAsia" w:ascii="Times New Roman" w:hAnsi="Times New Roman" w:eastAsia="楷体"/>
          <w:sz w:val="32"/>
          <w:szCs w:val="24"/>
          <w:lang w:val="zh-CN"/>
        </w:rPr>
      </w:pPr>
      <w:bookmarkStart w:id="161" w:name="_Toc31202"/>
      <w:bookmarkStart w:id="162" w:name="_Toc16884"/>
      <w:bookmarkStart w:id="163" w:name="_Toc8755"/>
      <w:r>
        <w:rPr>
          <w:rFonts w:hint="eastAsia" w:ascii="Times New Roman" w:hAnsi="Times New Roman" w:eastAsia="楷体"/>
          <w:sz w:val="32"/>
          <w:szCs w:val="24"/>
        </w:rPr>
        <w:t>一、</w:t>
      </w:r>
      <w:r>
        <w:rPr>
          <w:rFonts w:hint="eastAsia" w:ascii="Times New Roman" w:hAnsi="Times New Roman" w:eastAsia="楷体"/>
          <w:sz w:val="32"/>
          <w:szCs w:val="24"/>
          <w:lang w:val="zh-CN"/>
        </w:rPr>
        <w:t>项目概况</w:t>
      </w:r>
      <w:bookmarkEnd w:id="161"/>
      <w:bookmarkEnd w:id="162"/>
      <w:bookmarkEnd w:id="163"/>
    </w:p>
    <w:p>
      <w:pPr>
        <w:spacing w:line="560" w:lineRule="exact"/>
        <w:ind w:firstLine="640" w:firstLineChars="200"/>
        <w:rPr>
          <w:rFonts w:hint="eastAsia" w:ascii="Times New Roman" w:hAnsi="Times New Roman" w:eastAsia="仿宋_GB2312"/>
          <w:sz w:val="32"/>
          <w:szCs w:val="24"/>
          <w:lang w:val="zh-CN"/>
        </w:rPr>
      </w:pPr>
      <w:bookmarkStart w:id="164" w:name="_Toc5157"/>
      <w:bookmarkStart w:id="165" w:name="_Toc4133"/>
      <w:r>
        <w:rPr>
          <w:rFonts w:hint="eastAsia" w:ascii="Times New Roman" w:hAnsi="Times New Roman" w:eastAsia="仿宋_GB2312"/>
          <w:sz w:val="32"/>
          <w:szCs w:val="24"/>
          <w:lang w:val="zh-CN"/>
        </w:rPr>
        <w:t>（一）项目基本情况</w:t>
      </w:r>
      <w:bookmarkEnd w:id="164"/>
      <w:bookmarkEnd w:id="165"/>
    </w:p>
    <w:p>
      <w:pPr>
        <w:autoSpaceDE/>
        <w:autoSpaceDN/>
        <w:snapToGrid w:val="0"/>
        <w:spacing w:line="560" w:lineRule="exact"/>
        <w:ind w:firstLine="640" w:firstLineChars="200"/>
        <w:rPr>
          <w:rFonts w:hint="eastAsia" w:ascii="仿宋" w:hAnsi="仿宋" w:eastAsia="仿宋" w:cs="Times New Roman"/>
          <w:color w:val="auto"/>
          <w:sz w:val="32"/>
          <w:szCs w:val="24"/>
          <w:lang w:val="zh-CN"/>
        </w:rPr>
      </w:pPr>
      <w:r>
        <w:rPr>
          <w:rFonts w:hint="eastAsia" w:ascii="仿宋" w:hAnsi="仿宋" w:eastAsia="仿宋" w:cs="Times New Roman"/>
          <w:color w:val="auto"/>
          <w:sz w:val="32"/>
          <w:szCs w:val="24"/>
          <w:lang w:val="zh-CN"/>
        </w:rPr>
        <w:t>根据《通江县1000万只富硒肉兔产业发展实施方案（202</w:t>
      </w:r>
      <w:r>
        <w:rPr>
          <w:rFonts w:hint="eastAsia" w:ascii="仿宋" w:hAnsi="仿宋" w:eastAsia="仿宋" w:cs="Times New Roman"/>
          <w:color w:val="auto"/>
          <w:sz w:val="32"/>
          <w:szCs w:val="24"/>
          <w:u w:val="none" w:color="FFFFFF"/>
          <w:shd w:val="clear" w:fill="FFFFFF"/>
          <w:lang w:val="zh-CN"/>
        </w:rPr>
        <w:t>2-</w:t>
      </w:r>
      <w:r>
        <w:rPr>
          <w:rFonts w:hint="eastAsia" w:ascii="仿宋" w:hAnsi="仿宋" w:eastAsia="仿宋" w:cs="Times New Roman"/>
          <w:color w:val="auto"/>
          <w:sz w:val="32"/>
          <w:szCs w:val="24"/>
          <w:lang w:val="zh-CN"/>
        </w:rPr>
        <w:t>2025年）》和《中共通江县委农村工作领导小组办公室关于下达2022年度富硒肉兔产业发展建设任务（第一批）的通知》，通江县板桥口镇白果坝村、砥坝村分别制定了实施方案，在得到镇人民政府批复后开始依据实施方案落实项目。该项目资金依据项目任务按照上级下达的资金分配，镇政府主要负责项目的批复、监管与指导。</w:t>
      </w:r>
    </w:p>
    <w:p>
      <w:pPr>
        <w:spacing w:line="560" w:lineRule="exact"/>
        <w:ind w:firstLine="640" w:firstLineChars="200"/>
        <w:rPr>
          <w:rFonts w:hint="eastAsia" w:ascii="Times New Roman" w:hAnsi="Times New Roman" w:eastAsia="仿宋_GB2312"/>
          <w:sz w:val="32"/>
          <w:szCs w:val="24"/>
          <w:lang w:val="zh-CN"/>
        </w:rPr>
      </w:pPr>
      <w:bookmarkStart w:id="166" w:name="_Toc9059"/>
      <w:bookmarkStart w:id="167" w:name="_Toc30391"/>
      <w:r>
        <w:rPr>
          <w:rFonts w:hint="eastAsia" w:ascii="Times New Roman" w:hAnsi="Times New Roman" w:eastAsia="仿宋_GB2312"/>
          <w:sz w:val="32"/>
          <w:szCs w:val="24"/>
          <w:lang w:val="zh-CN"/>
        </w:rPr>
        <w:t>（二）项目绩效目标</w:t>
      </w:r>
      <w:bookmarkEnd w:id="166"/>
      <w:bookmarkEnd w:id="167"/>
    </w:p>
    <w:p>
      <w:pPr>
        <w:widowControl/>
        <w:numPr>
          <w:ilvl w:val="0"/>
          <w:numId w:val="0"/>
        </w:numPr>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zh-CN"/>
        </w:rPr>
        <w:t>1.项目主要内容：白果坝村、砥坝村各新建标准化圈舍</w:t>
      </w:r>
      <w:r>
        <w:rPr>
          <w:rFonts w:hint="eastAsia" w:ascii="仿宋" w:hAnsi="仿宋" w:eastAsia="仿宋" w:cs="Times New Roman"/>
          <w:color w:val="auto"/>
          <w:sz w:val="32"/>
          <w:szCs w:val="24"/>
          <w:lang w:val="en-US" w:eastAsia="zh-CN"/>
        </w:rPr>
        <w:t>600平方米，种兔饲养规模各440只，出栏数量各20000只。</w:t>
      </w:r>
    </w:p>
    <w:p>
      <w:pPr>
        <w:widowControl/>
        <w:numPr>
          <w:ilvl w:val="0"/>
          <w:numId w:val="0"/>
        </w:numPr>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zh-CN"/>
        </w:rPr>
        <w:t>2.项目进度：</w:t>
      </w:r>
      <w:r>
        <w:rPr>
          <w:rFonts w:hint="eastAsia" w:ascii="仿宋" w:hAnsi="仿宋" w:eastAsia="仿宋" w:cs="Times New Roman"/>
          <w:color w:val="auto"/>
          <w:sz w:val="32"/>
          <w:szCs w:val="24"/>
          <w:lang w:val="en-US" w:eastAsia="zh-CN"/>
        </w:rPr>
        <w:t>白果坝村、砥坝村已完成兔场设施设备配套建</w:t>
      </w:r>
      <w:r>
        <w:rPr>
          <w:rFonts w:hint="eastAsia" w:ascii="仿宋" w:hAnsi="仿宋" w:eastAsia="仿宋" w:cs="Times New Roman"/>
          <w:color w:val="auto"/>
          <w:sz w:val="32"/>
          <w:szCs w:val="24"/>
          <w:u w:val="none" w:color="FFFFFF"/>
          <w:shd w:val="clear" w:fill="FFFFFF"/>
          <w:lang w:val="en-US" w:eastAsia="zh-CN"/>
        </w:rPr>
        <w:t>设</w:t>
      </w:r>
      <w:r>
        <w:rPr>
          <w:rFonts w:hint="eastAsia" w:ascii="仿宋" w:hAnsi="仿宋" w:eastAsia="仿宋" w:cs="Times New Roman"/>
          <w:color w:val="auto"/>
          <w:sz w:val="32"/>
          <w:szCs w:val="24"/>
          <w:lang w:val="en-US" w:eastAsia="zh-CN"/>
        </w:rPr>
        <w:t>并做好项目相关资料准</w:t>
      </w:r>
      <w:r>
        <w:rPr>
          <w:rFonts w:hint="eastAsia" w:ascii="仿宋" w:hAnsi="仿宋" w:eastAsia="仿宋" w:cs="Times New Roman"/>
          <w:color w:val="auto"/>
          <w:sz w:val="32"/>
          <w:szCs w:val="24"/>
          <w:u w:val="none" w:color="FFFFFF"/>
          <w:shd w:val="clear" w:fill="FFFFFF"/>
          <w:lang w:val="en-US" w:eastAsia="zh-CN"/>
        </w:rPr>
        <w:t>备</w:t>
      </w:r>
      <w:r>
        <w:rPr>
          <w:rFonts w:hint="eastAsia" w:ascii="仿宋" w:hAnsi="仿宋" w:eastAsia="仿宋" w:cs="Times New Roman"/>
          <w:color w:val="auto"/>
          <w:sz w:val="32"/>
          <w:szCs w:val="24"/>
          <w:lang w:val="en-US" w:eastAsia="zh-CN"/>
        </w:rPr>
        <w:t>自查审计和迎接验收。截至目前，已完成第一批出栏。</w:t>
      </w:r>
    </w:p>
    <w:p>
      <w:pPr>
        <w:widowControl/>
        <w:numPr>
          <w:ilvl w:val="0"/>
          <w:numId w:val="0"/>
        </w:numPr>
        <w:autoSpaceDE/>
        <w:autoSpaceDN/>
        <w:snapToGrid w:val="0"/>
        <w:spacing w:line="560" w:lineRule="exact"/>
        <w:ind w:firstLine="640" w:firstLineChars="200"/>
        <w:rPr>
          <w:rFonts w:hint="eastAsia" w:ascii="仿宋" w:hAnsi="仿宋" w:eastAsia="仿宋" w:cs="Times New Roman"/>
          <w:color w:val="auto"/>
          <w:sz w:val="32"/>
          <w:szCs w:val="24"/>
          <w:lang w:val="zh-CN"/>
        </w:rPr>
      </w:pPr>
      <w:r>
        <w:rPr>
          <w:rFonts w:hint="eastAsia" w:ascii="仿宋" w:hAnsi="仿宋" w:eastAsia="仿宋" w:cs="Times New Roman"/>
          <w:color w:val="auto"/>
          <w:sz w:val="32"/>
          <w:szCs w:val="24"/>
          <w:lang w:val="zh-CN"/>
        </w:rPr>
        <w:t>3.分析评价申报内容是否与实际相符，申报目标是否合理可行。</w:t>
      </w:r>
    </w:p>
    <w:p>
      <w:pPr>
        <w:spacing w:line="560" w:lineRule="exact"/>
        <w:ind w:firstLine="640" w:firstLineChars="200"/>
        <w:rPr>
          <w:rFonts w:hint="eastAsia" w:ascii="Times New Roman" w:hAnsi="Times New Roman" w:eastAsia="仿宋_GB2312"/>
          <w:sz w:val="32"/>
          <w:szCs w:val="24"/>
          <w:lang w:val="zh-CN"/>
        </w:rPr>
      </w:pPr>
      <w:bookmarkStart w:id="168" w:name="_Toc4418"/>
      <w:bookmarkStart w:id="169" w:name="_Toc27804"/>
      <w:r>
        <w:rPr>
          <w:rFonts w:hint="eastAsia" w:ascii="Times New Roman" w:hAnsi="Times New Roman" w:eastAsia="仿宋_GB2312"/>
          <w:sz w:val="32"/>
          <w:szCs w:val="24"/>
          <w:lang w:val="zh-CN"/>
        </w:rPr>
        <w:t>（三）项目自评步骤及方法</w:t>
      </w:r>
      <w:bookmarkEnd w:id="168"/>
      <w:bookmarkEnd w:id="169"/>
    </w:p>
    <w:p>
      <w:pPr>
        <w:autoSpaceDE/>
        <w:autoSpaceDN/>
        <w:snapToGrid w:val="0"/>
        <w:spacing w:line="560" w:lineRule="exact"/>
        <w:ind w:firstLine="640" w:firstLineChars="200"/>
        <w:rPr>
          <w:rFonts w:hint="eastAsia" w:ascii="仿宋" w:hAnsi="仿宋" w:eastAsia="仿宋" w:cs="Times New Roman"/>
          <w:color w:val="auto"/>
          <w:sz w:val="32"/>
          <w:szCs w:val="24"/>
          <w:lang w:val="zh-CN"/>
        </w:rPr>
      </w:pPr>
      <w:r>
        <w:rPr>
          <w:rFonts w:hint="eastAsia" w:ascii="仿宋" w:hAnsi="仿宋" w:eastAsia="仿宋" w:cs="Times New Roman"/>
          <w:color w:val="auto"/>
          <w:sz w:val="32"/>
          <w:szCs w:val="24"/>
          <w:lang w:val="zh-CN"/>
        </w:rPr>
        <w:t>项目自评由实施单位依据情况自评，报主管部门复核，最后由财政所</w:t>
      </w:r>
      <w:r>
        <w:rPr>
          <w:rFonts w:hint="eastAsia" w:ascii="仿宋" w:hAnsi="仿宋" w:eastAsia="仿宋" w:cs="Times New Roman"/>
          <w:color w:val="auto"/>
          <w:sz w:val="32"/>
          <w:szCs w:val="24"/>
          <w:u w:val="none" w:color="FFFFFF"/>
          <w:shd w:val="clear" w:fill="FFFFFF"/>
          <w:lang w:val="zh-CN"/>
        </w:rPr>
        <w:t>终审并</w:t>
      </w:r>
      <w:r>
        <w:rPr>
          <w:rFonts w:hint="eastAsia" w:ascii="仿宋" w:hAnsi="仿宋" w:eastAsia="仿宋" w:cs="Times New Roman"/>
          <w:color w:val="auto"/>
          <w:sz w:val="32"/>
          <w:szCs w:val="24"/>
          <w:lang w:val="zh-CN"/>
        </w:rPr>
        <w:t>上报。</w:t>
      </w:r>
    </w:p>
    <w:p>
      <w:pPr>
        <w:spacing w:line="560" w:lineRule="exact"/>
        <w:ind w:firstLine="640" w:firstLineChars="200"/>
        <w:rPr>
          <w:rFonts w:hint="eastAsia" w:ascii="Times New Roman" w:hAnsi="Times New Roman" w:eastAsia="楷体"/>
          <w:sz w:val="32"/>
          <w:szCs w:val="24"/>
        </w:rPr>
      </w:pPr>
      <w:bookmarkStart w:id="170" w:name="_Toc31108"/>
      <w:bookmarkStart w:id="171" w:name="_Toc26595"/>
      <w:bookmarkStart w:id="172" w:name="_Toc20939"/>
      <w:r>
        <w:rPr>
          <w:rFonts w:hint="eastAsia" w:ascii="Times New Roman" w:hAnsi="Times New Roman" w:eastAsia="楷体"/>
          <w:sz w:val="32"/>
          <w:szCs w:val="24"/>
        </w:rPr>
        <w:t>二、项目资金申报及使用情况</w:t>
      </w:r>
      <w:bookmarkEnd w:id="170"/>
      <w:bookmarkEnd w:id="171"/>
      <w:bookmarkEnd w:id="172"/>
    </w:p>
    <w:p>
      <w:pPr>
        <w:spacing w:line="560" w:lineRule="exact"/>
        <w:ind w:firstLine="640" w:firstLineChars="200"/>
        <w:rPr>
          <w:rFonts w:hint="eastAsia" w:ascii="Times New Roman" w:hAnsi="Times New Roman" w:eastAsia="仿宋_GB2312"/>
          <w:sz w:val="32"/>
          <w:szCs w:val="24"/>
          <w:lang w:val="zh-CN"/>
        </w:rPr>
      </w:pPr>
      <w:bookmarkStart w:id="173" w:name="_Toc28870"/>
      <w:bookmarkStart w:id="174" w:name="_Toc12002"/>
      <w:r>
        <w:rPr>
          <w:rFonts w:hint="eastAsia" w:ascii="Times New Roman" w:hAnsi="Times New Roman" w:eastAsia="仿宋_GB2312"/>
          <w:sz w:val="32"/>
          <w:szCs w:val="24"/>
          <w:lang w:val="zh-CN"/>
        </w:rPr>
        <w:t>（一）项目资金申报及批复情况</w:t>
      </w:r>
      <w:bookmarkEnd w:id="173"/>
      <w:bookmarkEnd w:id="174"/>
    </w:p>
    <w:p>
      <w:pPr>
        <w:widowControl/>
        <w:numPr>
          <w:ilvl w:val="0"/>
          <w:numId w:val="0"/>
        </w:numPr>
        <w:autoSpaceDE/>
        <w:autoSpaceDN/>
        <w:snapToGrid w:val="0"/>
        <w:spacing w:line="560" w:lineRule="exact"/>
        <w:ind w:firstLine="640" w:firstLineChars="200"/>
        <w:rPr>
          <w:rFonts w:hint="eastAsia" w:ascii="仿宋" w:hAnsi="仿宋" w:eastAsia="仿宋" w:cs="Times New Roman"/>
          <w:color w:val="auto"/>
          <w:sz w:val="32"/>
          <w:szCs w:val="24"/>
          <w:lang w:val="zh-CN"/>
        </w:rPr>
      </w:pPr>
      <w:r>
        <w:rPr>
          <w:rFonts w:hint="eastAsia" w:ascii="仿宋" w:hAnsi="仿宋" w:eastAsia="仿宋" w:cs="Times New Roman"/>
          <w:color w:val="auto"/>
          <w:sz w:val="32"/>
          <w:szCs w:val="24"/>
          <w:lang w:val="zh-CN"/>
        </w:rPr>
        <w:t>项目资金按照计划申报、批复，无预算调整情况。</w:t>
      </w:r>
    </w:p>
    <w:p>
      <w:pPr>
        <w:spacing w:line="560" w:lineRule="exact"/>
        <w:ind w:firstLine="640" w:firstLineChars="200"/>
        <w:rPr>
          <w:rFonts w:hint="eastAsia" w:ascii="Times New Roman" w:hAnsi="Times New Roman" w:eastAsia="仿宋_GB2312"/>
          <w:sz w:val="32"/>
          <w:szCs w:val="24"/>
          <w:lang w:val="zh-CN"/>
        </w:rPr>
      </w:pPr>
      <w:bookmarkStart w:id="175" w:name="_Toc3575"/>
      <w:bookmarkStart w:id="176" w:name="_Toc27139"/>
      <w:r>
        <w:rPr>
          <w:rFonts w:hint="eastAsia" w:ascii="Times New Roman" w:hAnsi="Times New Roman" w:eastAsia="仿宋_GB2312"/>
          <w:sz w:val="32"/>
          <w:szCs w:val="24"/>
          <w:u w:val="none" w:color="FFFFFF"/>
          <w:shd w:val="clear" w:fill="FFFFFF"/>
          <w:lang w:val="zh-CN"/>
        </w:rPr>
        <w:t>（二）资金计划、到位及使用情况</w:t>
      </w:r>
      <w:bookmarkEnd w:id="175"/>
      <w:bookmarkEnd w:id="176"/>
    </w:p>
    <w:p>
      <w:pPr>
        <w:widowControl/>
        <w:numPr>
          <w:ilvl w:val="0"/>
          <w:numId w:val="0"/>
        </w:numPr>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zh-CN"/>
        </w:rPr>
        <w:t>1.资金计划。白果坝村计划</w:t>
      </w:r>
      <w:r>
        <w:rPr>
          <w:rFonts w:hint="eastAsia" w:ascii="仿宋" w:hAnsi="仿宋" w:eastAsia="仿宋" w:cs="Times New Roman"/>
          <w:color w:val="auto"/>
          <w:sz w:val="32"/>
          <w:szCs w:val="24"/>
          <w:lang w:val="en-US" w:eastAsia="zh-CN"/>
        </w:rPr>
        <w:t>30万元，砥坝村计划30万元。</w:t>
      </w:r>
    </w:p>
    <w:p>
      <w:pPr>
        <w:numPr>
          <w:ilvl w:val="0"/>
          <w:numId w:val="0"/>
        </w:numPr>
        <w:autoSpaceDE/>
        <w:autoSpaceDN/>
        <w:snapToGrid w:val="0"/>
        <w:spacing w:line="560" w:lineRule="exact"/>
        <w:ind w:firstLine="640" w:firstLineChars="200"/>
        <w:rPr>
          <w:rFonts w:hint="eastAsia" w:ascii="仿宋" w:hAnsi="仿宋" w:eastAsia="仿宋" w:cs="Times New Roman"/>
          <w:color w:val="auto"/>
          <w:sz w:val="32"/>
          <w:szCs w:val="24"/>
          <w:lang w:val="en-US" w:eastAsia="zh-CN"/>
        </w:rPr>
      </w:pPr>
      <w:r>
        <w:rPr>
          <w:rFonts w:hint="eastAsia" w:ascii="仿宋" w:hAnsi="仿宋" w:eastAsia="仿宋" w:cs="Times New Roman"/>
          <w:color w:val="auto"/>
          <w:sz w:val="32"/>
          <w:szCs w:val="24"/>
          <w:lang w:val="zh-CN"/>
        </w:rPr>
        <w:t>2.资金到位。白果坝村到位30万元，砥坝村到位</w:t>
      </w:r>
      <w:r>
        <w:rPr>
          <w:rFonts w:hint="eastAsia" w:ascii="仿宋" w:hAnsi="仿宋" w:eastAsia="仿宋" w:cs="Times New Roman"/>
          <w:color w:val="auto"/>
          <w:sz w:val="32"/>
          <w:szCs w:val="24"/>
          <w:lang w:val="en-US" w:eastAsia="zh-CN"/>
        </w:rPr>
        <w:t>30</w:t>
      </w:r>
      <w:r>
        <w:rPr>
          <w:rFonts w:hint="eastAsia" w:ascii="仿宋" w:hAnsi="仿宋" w:eastAsia="仿宋" w:cs="Times New Roman"/>
          <w:color w:val="auto"/>
          <w:sz w:val="32"/>
          <w:szCs w:val="24"/>
          <w:lang w:val="zh-CN"/>
        </w:rPr>
        <w:t>万元，资金到位率均为100%。</w:t>
      </w:r>
    </w:p>
    <w:p>
      <w:pPr>
        <w:numPr>
          <w:ilvl w:val="0"/>
          <w:numId w:val="0"/>
        </w:numPr>
        <w:autoSpaceDE/>
        <w:autoSpaceDN/>
        <w:snapToGrid w:val="0"/>
        <w:spacing w:line="560" w:lineRule="exact"/>
        <w:ind w:firstLine="640" w:firstLineChars="200"/>
        <w:rPr>
          <w:rFonts w:hint="eastAsia" w:ascii="仿宋" w:hAnsi="仿宋" w:eastAsia="仿宋" w:cs="Times New Roman"/>
          <w:color w:val="auto"/>
          <w:sz w:val="32"/>
          <w:szCs w:val="24"/>
          <w:lang w:val="zh-CN"/>
        </w:rPr>
      </w:pPr>
      <w:r>
        <w:rPr>
          <w:rFonts w:hint="eastAsia" w:ascii="仿宋" w:hAnsi="仿宋" w:eastAsia="仿宋" w:cs="Times New Roman"/>
          <w:color w:val="auto"/>
          <w:sz w:val="32"/>
          <w:szCs w:val="24"/>
          <w:lang w:val="en-US" w:eastAsia="zh-CN"/>
        </w:rPr>
        <w:t>3.</w:t>
      </w:r>
      <w:r>
        <w:rPr>
          <w:rFonts w:hint="eastAsia" w:ascii="仿宋" w:hAnsi="仿宋" w:eastAsia="仿宋" w:cs="Times New Roman"/>
          <w:color w:val="auto"/>
          <w:sz w:val="32"/>
          <w:szCs w:val="24"/>
          <w:lang w:val="zh-CN"/>
        </w:rPr>
        <w:t>资金使用。砥坝村使用30万元，白果坝村使用</w:t>
      </w:r>
      <w:r>
        <w:rPr>
          <w:rFonts w:hint="eastAsia" w:ascii="仿宋" w:hAnsi="仿宋" w:eastAsia="仿宋" w:cs="Times New Roman"/>
          <w:color w:val="auto"/>
          <w:sz w:val="32"/>
          <w:szCs w:val="24"/>
          <w:lang w:val="en-US" w:eastAsia="zh-CN"/>
        </w:rPr>
        <w:t>30</w:t>
      </w:r>
      <w:r>
        <w:rPr>
          <w:rFonts w:hint="eastAsia" w:ascii="仿宋" w:hAnsi="仿宋" w:eastAsia="仿宋" w:cs="Times New Roman"/>
          <w:color w:val="auto"/>
          <w:sz w:val="32"/>
          <w:szCs w:val="24"/>
          <w:lang w:val="zh-CN"/>
        </w:rPr>
        <w:t>万元，资金使用率均为100%。</w:t>
      </w:r>
    </w:p>
    <w:p>
      <w:pPr>
        <w:spacing w:line="560" w:lineRule="exact"/>
        <w:ind w:firstLine="640" w:firstLineChars="200"/>
        <w:rPr>
          <w:rFonts w:hint="eastAsia" w:ascii="Times New Roman" w:hAnsi="Times New Roman" w:eastAsia="仿宋_GB2312"/>
          <w:sz w:val="32"/>
          <w:szCs w:val="24"/>
          <w:lang w:val="zh-CN"/>
        </w:rPr>
      </w:pPr>
      <w:bookmarkStart w:id="177" w:name="_Toc30320"/>
      <w:bookmarkStart w:id="178" w:name="_Toc22105"/>
      <w:r>
        <w:rPr>
          <w:rFonts w:hint="eastAsia" w:ascii="Times New Roman" w:hAnsi="Times New Roman" w:eastAsia="仿宋_GB2312"/>
          <w:sz w:val="32"/>
          <w:szCs w:val="24"/>
          <w:lang w:val="zh-CN"/>
        </w:rPr>
        <w:t>（三）项目财务管理情况</w:t>
      </w:r>
      <w:bookmarkEnd w:id="177"/>
      <w:bookmarkEnd w:id="178"/>
    </w:p>
    <w:p>
      <w:pPr>
        <w:widowControl/>
        <w:numPr>
          <w:ilvl w:val="0"/>
          <w:numId w:val="0"/>
        </w:numPr>
        <w:autoSpaceDE/>
        <w:autoSpaceDN/>
        <w:snapToGrid w:val="0"/>
        <w:spacing w:line="560" w:lineRule="exact"/>
        <w:ind w:firstLine="640" w:firstLineChars="200"/>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宋体" w:cs="仿宋_GB2312"/>
          <w:color w:val="auto"/>
          <w:sz w:val="32"/>
          <w:szCs w:val="32"/>
          <w:shd w:val="clear" w:color="auto" w:fill="FFFFFF"/>
          <w:lang w:val="zh-CN"/>
        </w:rPr>
        <w:t>富硒肉兔产业资金由镇财政所代管，</w:t>
      </w:r>
      <w:r>
        <w:rPr>
          <w:rFonts w:hint="eastAsia" w:ascii="仿宋_GB2312" w:hAnsi="仿宋_GB2312" w:eastAsia="仿宋_GB2312" w:cs="仿宋_GB2312"/>
          <w:color w:val="auto"/>
          <w:sz w:val="32"/>
          <w:szCs w:val="32"/>
          <w:shd w:val="clear" w:color="auto" w:fill="FFFFFF"/>
          <w:lang w:val="zh-CN"/>
        </w:rPr>
        <w:t>财务管理制度健全，严格执行财务管理制度，账务处理及时，会计核算规范。</w:t>
      </w:r>
    </w:p>
    <w:p>
      <w:pPr>
        <w:spacing w:line="560" w:lineRule="exact"/>
        <w:ind w:firstLine="640" w:firstLineChars="200"/>
        <w:rPr>
          <w:rFonts w:hint="eastAsia" w:ascii="Times New Roman" w:hAnsi="Times New Roman" w:eastAsia="楷体"/>
          <w:sz w:val="32"/>
          <w:szCs w:val="24"/>
        </w:rPr>
      </w:pPr>
      <w:bookmarkStart w:id="179" w:name="_Toc12866"/>
      <w:bookmarkStart w:id="180" w:name="_Toc26923"/>
      <w:bookmarkStart w:id="181" w:name="_Toc26388"/>
      <w:r>
        <w:rPr>
          <w:rFonts w:hint="eastAsia" w:ascii="Times New Roman" w:hAnsi="Times New Roman" w:eastAsia="楷体"/>
          <w:sz w:val="32"/>
          <w:szCs w:val="24"/>
        </w:rPr>
        <w:t>三、项目实施及管理情况</w:t>
      </w:r>
      <w:bookmarkEnd w:id="179"/>
      <w:bookmarkEnd w:id="180"/>
      <w:bookmarkEnd w:id="181"/>
    </w:p>
    <w:p>
      <w:pPr>
        <w:spacing w:line="560" w:lineRule="exact"/>
        <w:ind w:firstLine="640" w:firstLineChars="200"/>
        <w:rPr>
          <w:rFonts w:hint="eastAsia" w:ascii="Times New Roman" w:hAnsi="Times New Roman" w:eastAsia="仿宋_GB2312"/>
          <w:sz w:val="32"/>
          <w:szCs w:val="24"/>
          <w:lang w:val="zh-CN"/>
        </w:rPr>
      </w:pPr>
      <w:bookmarkStart w:id="182" w:name="_Toc3468"/>
      <w:bookmarkStart w:id="183" w:name="_Toc1962"/>
      <w:r>
        <w:rPr>
          <w:rFonts w:hint="eastAsia" w:ascii="Times New Roman" w:hAnsi="Times New Roman" w:eastAsia="仿宋_GB2312"/>
          <w:sz w:val="32"/>
          <w:szCs w:val="24"/>
          <w:lang w:val="zh-CN"/>
        </w:rPr>
        <w:t>（一）项目组织架构及实施流程</w:t>
      </w:r>
      <w:bookmarkEnd w:id="182"/>
      <w:bookmarkEnd w:id="183"/>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rPr>
      </w:pPr>
      <w:r>
        <w:rPr>
          <w:rFonts w:hint="eastAsia" w:ascii="仿宋" w:hAnsi="仿宋" w:eastAsia="仿宋" w:cs="仿宋"/>
          <w:color w:val="auto"/>
          <w:sz w:val="32"/>
          <w:szCs w:val="32"/>
          <w:shd w:val="clear" w:color="auto" w:fill="FFFFFF"/>
          <w:lang w:val="zh-CN"/>
        </w:rPr>
        <w:t>镇党委政府高度重视</w:t>
      </w:r>
      <w:r>
        <w:rPr>
          <w:rFonts w:hint="eastAsia" w:ascii="仿宋" w:hAnsi="仿宋" w:eastAsia="仿宋" w:cs="仿宋"/>
          <w:color w:val="auto"/>
          <w:sz w:val="32"/>
          <w:szCs w:val="32"/>
          <w:shd w:val="clear" w:color="auto" w:fill="FFFFFF"/>
          <w:lang w:val="zh-CN" w:eastAsia="zh-CN"/>
        </w:rPr>
        <w:t>项目资金</w:t>
      </w:r>
      <w:r>
        <w:rPr>
          <w:rFonts w:hint="eastAsia" w:ascii="仿宋" w:hAnsi="仿宋" w:eastAsia="仿宋" w:cs="仿宋"/>
          <w:color w:val="auto"/>
          <w:sz w:val="32"/>
          <w:szCs w:val="32"/>
          <w:shd w:val="clear" w:color="auto" w:fill="FFFFFF"/>
          <w:lang w:val="zh-CN"/>
        </w:rPr>
        <w:t>的绩效管理，成立了监督管理领导小组，统筹协调资金运用全过程。</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rPr>
      </w:pPr>
      <w:r>
        <w:rPr>
          <w:rFonts w:hint="eastAsia" w:ascii="仿宋" w:hAnsi="仿宋" w:eastAsia="仿宋" w:cs="仿宋"/>
          <w:color w:val="auto"/>
          <w:sz w:val="32"/>
          <w:szCs w:val="32"/>
          <w:shd w:val="clear" w:color="auto" w:fill="FFFFFF"/>
          <w:lang w:val="zh-CN"/>
        </w:rPr>
        <w:t>组  长：</w:t>
      </w:r>
      <w:r>
        <w:rPr>
          <w:rFonts w:hint="eastAsia" w:ascii="仿宋" w:hAnsi="仿宋" w:eastAsia="仿宋" w:cs="仿宋"/>
          <w:color w:val="auto"/>
          <w:sz w:val="32"/>
          <w:szCs w:val="32"/>
          <w:shd w:val="clear" w:color="auto" w:fill="FFFFFF"/>
          <w:lang w:val="en-US" w:eastAsia="zh-CN"/>
        </w:rPr>
        <w:t>岳荣甫</w:t>
      </w:r>
      <w:r>
        <w:rPr>
          <w:rFonts w:hint="eastAsia" w:ascii="仿宋" w:hAnsi="仿宋" w:eastAsia="仿宋" w:cs="仿宋"/>
          <w:color w:val="auto"/>
          <w:sz w:val="32"/>
          <w:szCs w:val="32"/>
          <w:shd w:val="clear" w:color="auto" w:fill="FFFFFF"/>
          <w:lang w:val="zh-CN"/>
        </w:rPr>
        <w:t xml:space="preserve">     党委书记</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u w:val="none" w:color="FFFFFF"/>
          <w:shd w:val="clear" w:color="auto" w:fill="FFFFFF"/>
          <w:lang w:val="zh-CN"/>
        </w:rPr>
      </w:pPr>
      <w:r>
        <w:rPr>
          <w:rFonts w:hint="eastAsia" w:ascii="仿宋" w:hAnsi="仿宋" w:eastAsia="仿宋" w:cs="仿宋"/>
          <w:color w:val="auto"/>
          <w:sz w:val="32"/>
          <w:szCs w:val="32"/>
          <w:shd w:val="clear" w:color="auto" w:fill="FFFFFF"/>
          <w:lang w:val="zh-CN"/>
        </w:rPr>
        <w:t xml:space="preserve">        </w:t>
      </w:r>
      <w:r>
        <w:rPr>
          <w:rFonts w:hint="eastAsia" w:ascii="仿宋" w:hAnsi="仿宋" w:eastAsia="仿宋" w:cs="仿宋"/>
          <w:color w:val="auto"/>
          <w:sz w:val="32"/>
          <w:szCs w:val="32"/>
          <w:u w:val="none" w:color="FFFFFF"/>
          <w:shd w:val="clear" w:color="auto" w:fill="FFFFFF"/>
          <w:lang w:val="en-US" w:eastAsia="zh-CN"/>
        </w:rPr>
        <w:t>屈  颖</w:t>
      </w:r>
      <w:r>
        <w:rPr>
          <w:rFonts w:hint="eastAsia" w:ascii="仿宋" w:hAnsi="仿宋" w:eastAsia="仿宋" w:cs="仿宋"/>
          <w:color w:val="auto"/>
          <w:sz w:val="32"/>
          <w:szCs w:val="32"/>
          <w:u w:val="none" w:color="FFFFFF"/>
          <w:shd w:val="clear" w:color="auto" w:fill="FFFFFF"/>
          <w:lang w:val="zh-CN"/>
        </w:rPr>
        <w:t xml:space="preserve">     镇长</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rPr>
      </w:pPr>
      <w:r>
        <w:rPr>
          <w:rFonts w:hint="eastAsia" w:ascii="仿宋" w:hAnsi="仿宋" w:eastAsia="仿宋" w:cs="仿宋"/>
          <w:color w:val="auto"/>
          <w:sz w:val="32"/>
          <w:szCs w:val="32"/>
          <w:u w:val="none" w:color="FFFFFF"/>
          <w:shd w:val="clear" w:color="auto" w:fill="FFFFFF"/>
          <w:lang w:val="zh-CN"/>
        </w:rPr>
        <w:t>副组长：</w:t>
      </w:r>
      <w:r>
        <w:rPr>
          <w:rFonts w:hint="eastAsia" w:ascii="仿宋" w:hAnsi="仿宋" w:eastAsia="仿宋" w:cs="仿宋"/>
          <w:color w:val="auto"/>
          <w:sz w:val="32"/>
          <w:szCs w:val="32"/>
          <w:u w:val="none" w:color="FFFFFF"/>
          <w:shd w:val="clear" w:color="auto" w:fill="FFFFFF"/>
          <w:lang w:val="en-US" w:eastAsia="zh-CN"/>
        </w:rPr>
        <w:t>陈虹锦</w:t>
      </w:r>
      <w:r>
        <w:rPr>
          <w:rFonts w:hint="eastAsia" w:ascii="仿宋" w:hAnsi="仿宋" w:eastAsia="仿宋" w:cs="仿宋"/>
          <w:color w:val="auto"/>
          <w:sz w:val="32"/>
          <w:szCs w:val="32"/>
          <w:u w:val="none" w:color="FFFFFF"/>
          <w:shd w:val="clear" w:color="auto" w:fill="FFFFFF"/>
          <w:lang w:val="zh-CN"/>
        </w:rPr>
        <w:t xml:space="preserve">     纪委书记</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u w:val="none" w:color="FFFFFF"/>
          <w:shd w:val="clear" w:color="auto" w:fill="FFFFFF"/>
          <w:lang w:val="zh-CN" w:eastAsia="zh-CN"/>
        </w:rPr>
      </w:pPr>
      <w:r>
        <w:rPr>
          <w:rFonts w:hint="eastAsia" w:ascii="仿宋" w:hAnsi="仿宋" w:eastAsia="仿宋" w:cs="仿宋"/>
          <w:color w:val="auto"/>
          <w:sz w:val="32"/>
          <w:szCs w:val="32"/>
          <w:shd w:val="clear" w:color="auto" w:fill="FFFFFF"/>
          <w:lang w:val="zh-CN"/>
        </w:rPr>
        <w:t xml:space="preserve">        </w:t>
      </w:r>
      <w:r>
        <w:rPr>
          <w:rFonts w:hint="eastAsia" w:ascii="仿宋" w:hAnsi="仿宋" w:eastAsia="仿宋" w:cs="仿宋"/>
          <w:color w:val="auto"/>
          <w:sz w:val="32"/>
          <w:szCs w:val="32"/>
          <w:u w:val="none" w:color="FFFFFF"/>
          <w:shd w:val="clear" w:color="auto" w:fill="FFFFFF"/>
          <w:lang w:val="en-US" w:eastAsia="zh-CN"/>
        </w:rPr>
        <w:t>闫  琳</w:t>
      </w:r>
      <w:r>
        <w:rPr>
          <w:rFonts w:hint="eastAsia" w:ascii="仿宋" w:hAnsi="仿宋" w:eastAsia="仿宋" w:cs="仿宋"/>
          <w:color w:val="auto"/>
          <w:sz w:val="32"/>
          <w:szCs w:val="32"/>
          <w:u w:val="none" w:color="FFFFFF"/>
          <w:shd w:val="clear" w:color="auto" w:fill="FFFFFF"/>
          <w:lang w:val="zh-CN"/>
        </w:rPr>
        <w:t xml:space="preserve">    </w:t>
      </w:r>
      <w:r>
        <w:rPr>
          <w:rFonts w:hint="eastAsia" w:ascii="仿宋" w:hAnsi="仿宋" w:eastAsia="仿宋" w:cs="仿宋"/>
          <w:color w:val="auto"/>
          <w:sz w:val="32"/>
          <w:szCs w:val="32"/>
          <w:u w:val="none" w:color="FFFFFF"/>
          <w:shd w:val="clear" w:color="auto" w:fill="FFFFFF"/>
          <w:lang w:val="en-US" w:eastAsia="zh-CN"/>
        </w:rPr>
        <w:t xml:space="preserve"> 副镇长</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rPr>
      </w:pPr>
      <w:r>
        <w:rPr>
          <w:rFonts w:hint="eastAsia" w:ascii="仿宋" w:hAnsi="仿宋" w:eastAsia="仿宋" w:cs="仿宋"/>
          <w:color w:val="auto"/>
          <w:sz w:val="32"/>
          <w:szCs w:val="32"/>
          <w:u w:val="none" w:color="FFFFFF"/>
          <w:shd w:val="clear" w:color="auto" w:fill="FFFFFF"/>
          <w:lang w:val="zh-CN"/>
        </w:rPr>
        <w:t>成  员：</w:t>
      </w:r>
      <w:r>
        <w:rPr>
          <w:rFonts w:hint="eastAsia" w:ascii="仿宋" w:hAnsi="仿宋" w:eastAsia="仿宋" w:cs="仿宋"/>
          <w:color w:val="auto"/>
          <w:sz w:val="32"/>
          <w:szCs w:val="32"/>
          <w:u w:val="none" w:color="FFFFFF"/>
          <w:shd w:val="clear" w:color="auto" w:fill="FFFFFF"/>
          <w:lang w:val="en-US" w:eastAsia="zh-CN"/>
        </w:rPr>
        <w:t>王国斌</w:t>
      </w:r>
      <w:r>
        <w:rPr>
          <w:rFonts w:hint="eastAsia" w:ascii="仿宋" w:hAnsi="仿宋" w:eastAsia="仿宋" w:cs="仿宋"/>
          <w:color w:val="auto"/>
          <w:sz w:val="32"/>
          <w:szCs w:val="32"/>
          <w:u w:val="none" w:color="FFFFFF"/>
          <w:shd w:val="clear" w:color="auto" w:fill="FFFFFF"/>
          <w:lang w:val="zh-CN"/>
        </w:rPr>
        <w:t xml:space="preserve">     </w:t>
      </w:r>
      <w:r>
        <w:rPr>
          <w:rFonts w:hint="eastAsia" w:ascii="仿宋" w:hAnsi="仿宋" w:eastAsia="仿宋" w:cs="仿宋"/>
          <w:color w:val="auto"/>
          <w:sz w:val="32"/>
          <w:szCs w:val="32"/>
          <w:u w:val="none" w:color="FFFFFF"/>
          <w:shd w:val="clear" w:color="auto" w:fill="FFFFFF"/>
          <w:lang w:val="zh-CN" w:eastAsia="zh-CN"/>
        </w:rPr>
        <w:t>财政所</w:t>
      </w:r>
      <w:r>
        <w:rPr>
          <w:rFonts w:hint="eastAsia" w:ascii="仿宋" w:hAnsi="仿宋" w:eastAsia="仿宋" w:cs="仿宋"/>
          <w:color w:val="auto"/>
          <w:sz w:val="32"/>
          <w:szCs w:val="32"/>
          <w:u w:val="none" w:color="FFFFFF"/>
          <w:shd w:val="clear" w:color="auto" w:fill="FFFFFF"/>
          <w:lang w:val="en-US" w:eastAsia="zh-CN"/>
        </w:rPr>
        <w:t>所长</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rPr>
      </w:pPr>
      <w:r>
        <w:rPr>
          <w:rFonts w:hint="eastAsia" w:ascii="仿宋" w:hAnsi="仿宋" w:eastAsia="仿宋" w:cs="仿宋"/>
          <w:color w:val="auto"/>
          <w:sz w:val="32"/>
          <w:szCs w:val="32"/>
          <w:shd w:val="clear" w:color="auto" w:fill="FFFFFF"/>
          <w:lang w:val="en-US" w:eastAsia="zh-CN"/>
        </w:rPr>
        <w:t xml:space="preserve">王敏生     </w:t>
      </w:r>
      <w:r>
        <w:rPr>
          <w:rFonts w:hint="eastAsia" w:ascii="仿宋" w:hAnsi="仿宋" w:eastAsia="仿宋" w:cs="仿宋"/>
          <w:color w:val="auto"/>
          <w:sz w:val="32"/>
          <w:szCs w:val="32"/>
          <w:shd w:val="clear" w:color="auto" w:fill="FFFFFF"/>
          <w:lang w:val="zh-CN" w:eastAsia="zh-CN"/>
        </w:rPr>
        <w:t>乡村振兴办主任</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rPr>
      </w:pPr>
      <w:r>
        <w:rPr>
          <w:rFonts w:hint="eastAsia" w:ascii="仿宋" w:hAnsi="仿宋" w:eastAsia="仿宋" w:cs="仿宋"/>
          <w:color w:val="auto"/>
          <w:sz w:val="32"/>
          <w:szCs w:val="32"/>
          <w:shd w:val="clear" w:color="auto" w:fill="FFFFFF"/>
          <w:lang w:val="en-US" w:eastAsia="zh-CN"/>
        </w:rPr>
        <w:t>赵碧霖</w:t>
      </w:r>
      <w:r>
        <w:rPr>
          <w:rFonts w:hint="eastAsia" w:ascii="仿宋" w:hAnsi="仿宋" w:eastAsia="仿宋" w:cs="仿宋"/>
          <w:color w:val="auto"/>
          <w:sz w:val="32"/>
          <w:szCs w:val="32"/>
          <w:shd w:val="clear" w:color="auto" w:fill="FFFFFF"/>
          <w:lang w:val="zh-CN"/>
        </w:rPr>
        <w:t xml:space="preserve">     </w:t>
      </w:r>
      <w:r>
        <w:rPr>
          <w:rFonts w:hint="eastAsia" w:ascii="仿宋" w:hAnsi="仿宋" w:eastAsia="仿宋" w:cs="仿宋"/>
          <w:color w:val="auto"/>
          <w:sz w:val="32"/>
          <w:szCs w:val="32"/>
          <w:shd w:val="clear" w:color="auto" w:fill="FFFFFF"/>
          <w:lang w:val="zh-CN" w:eastAsia="zh-CN"/>
        </w:rPr>
        <w:t>财政所干部</w:t>
      </w:r>
      <w:r>
        <w:rPr>
          <w:rFonts w:hint="eastAsia" w:ascii="仿宋" w:hAnsi="仿宋" w:eastAsia="仿宋" w:cs="仿宋"/>
          <w:color w:val="auto"/>
          <w:sz w:val="32"/>
          <w:szCs w:val="32"/>
          <w:shd w:val="clear" w:color="auto" w:fill="FFFFFF"/>
          <w:lang w:val="zh-CN"/>
        </w:rPr>
        <w:t xml:space="preserve">  </w:t>
      </w:r>
    </w:p>
    <w:p>
      <w:pPr>
        <w:numPr>
          <w:ilvl w:val="0"/>
          <w:numId w:val="0"/>
        </w:numPr>
        <w:spacing w:line="560" w:lineRule="exact"/>
        <w:ind w:firstLine="640" w:firstLineChars="200"/>
        <w:rPr>
          <w:rFonts w:hint="eastAsia" w:ascii="Times New Roman" w:hAnsi="Times New Roman" w:eastAsia="仿宋_GB2312"/>
          <w:sz w:val="32"/>
          <w:szCs w:val="24"/>
          <w:lang w:val="zh-CN"/>
        </w:rPr>
      </w:pPr>
      <w:bookmarkStart w:id="184" w:name="_Toc19468"/>
      <w:bookmarkStart w:id="185" w:name="_Toc17418"/>
      <w:r>
        <w:rPr>
          <w:rFonts w:hint="eastAsia" w:ascii="Times New Roman" w:hAnsi="Times New Roman" w:eastAsia="仿宋_GB2312"/>
          <w:sz w:val="32"/>
          <w:szCs w:val="24"/>
          <w:u w:val="none" w:color="auto"/>
          <w:lang w:val="zh-CN"/>
        </w:rPr>
        <w:t>（二）</w:t>
      </w:r>
      <w:r>
        <w:rPr>
          <w:rFonts w:hint="eastAsia" w:ascii="Times New Roman" w:hAnsi="Times New Roman" w:eastAsia="仿宋_GB2312"/>
          <w:sz w:val="32"/>
          <w:szCs w:val="24"/>
          <w:lang w:val="zh-CN"/>
        </w:rPr>
        <w:t>项目管理情况</w:t>
      </w:r>
      <w:bookmarkEnd w:id="184"/>
      <w:bookmarkEnd w:id="185"/>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所有开支均符合财务管理规定，资金</w:t>
      </w:r>
      <w:r>
        <w:rPr>
          <w:rFonts w:hint="eastAsia" w:ascii="仿宋" w:hAnsi="仿宋" w:eastAsia="仿宋" w:cs="仿宋"/>
          <w:color w:val="auto"/>
          <w:sz w:val="32"/>
          <w:szCs w:val="32"/>
          <w:u w:val="none" w:color="FFFFFF"/>
          <w:shd w:val="clear" w:color="auto" w:fill="FFFFFF"/>
          <w:lang w:val="zh-CN" w:eastAsia="zh-CN"/>
        </w:rPr>
        <w:t>运用的</w:t>
      </w:r>
      <w:r>
        <w:rPr>
          <w:rFonts w:hint="eastAsia" w:ascii="仿宋" w:hAnsi="仿宋" w:eastAsia="仿宋" w:cs="仿宋"/>
          <w:color w:val="auto"/>
          <w:sz w:val="32"/>
          <w:szCs w:val="32"/>
          <w:shd w:val="clear" w:color="auto" w:fill="FFFFFF"/>
          <w:lang w:val="zh-CN" w:eastAsia="zh-CN"/>
        </w:rPr>
        <w:t>内部控制制度严格管控，在执行计划过程中不存在违规违法的问题。</w:t>
      </w:r>
    </w:p>
    <w:p>
      <w:pPr>
        <w:spacing w:line="560" w:lineRule="exact"/>
        <w:ind w:firstLine="640" w:firstLineChars="200"/>
        <w:rPr>
          <w:rFonts w:hint="eastAsia" w:ascii="Times New Roman" w:hAnsi="Times New Roman" w:eastAsia="仿宋_GB2312"/>
          <w:sz w:val="32"/>
          <w:szCs w:val="24"/>
          <w:lang w:val="zh-CN"/>
        </w:rPr>
      </w:pPr>
      <w:bookmarkStart w:id="186" w:name="_Toc21367"/>
      <w:bookmarkStart w:id="187" w:name="_Toc18221"/>
      <w:r>
        <w:rPr>
          <w:rFonts w:hint="eastAsia" w:ascii="Times New Roman" w:hAnsi="Times New Roman" w:eastAsia="仿宋_GB2312"/>
          <w:sz w:val="32"/>
          <w:szCs w:val="24"/>
          <w:lang w:val="zh-CN"/>
        </w:rPr>
        <w:t>（三）项目监管情况</w:t>
      </w:r>
      <w:bookmarkEnd w:id="186"/>
      <w:bookmarkEnd w:id="187"/>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成立了专门的领导小组，从微观上进行了资金管控；制定了相关内部控制制度，从制度上规范了资金运用；建立了监督检查机制，从纪律上加强了资金约束。</w:t>
      </w:r>
    </w:p>
    <w:p>
      <w:pPr>
        <w:spacing w:line="560" w:lineRule="exact"/>
        <w:ind w:firstLine="640" w:firstLineChars="200"/>
        <w:rPr>
          <w:rFonts w:hint="eastAsia" w:ascii="Times New Roman" w:hAnsi="Times New Roman" w:eastAsia="楷体"/>
          <w:sz w:val="32"/>
          <w:szCs w:val="24"/>
          <w:lang w:val="zh-CN"/>
        </w:rPr>
      </w:pPr>
      <w:bookmarkStart w:id="188" w:name="_Toc14033"/>
      <w:bookmarkStart w:id="189" w:name="_Toc25328"/>
      <w:bookmarkStart w:id="190" w:name="_Toc2786"/>
      <w:r>
        <w:rPr>
          <w:rFonts w:hint="eastAsia" w:ascii="Times New Roman" w:hAnsi="Times New Roman" w:eastAsia="楷体"/>
          <w:sz w:val="32"/>
          <w:szCs w:val="24"/>
        </w:rPr>
        <w:t>四、项目绩效情况</w:t>
      </w:r>
      <w:bookmarkEnd w:id="188"/>
      <w:bookmarkEnd w:id="189"/>
      <w:bookmarkEnd w:id="190"/>
      <w:r>
        <w:rPr>
          <w:rFonts w:hint="eastAsia" w:ascii="Times New Roman" w:hAnsi="Times New Roman" w:eastAsia="楷体"/>
          <w:sz w:val="32"/>
          <w:szCs w:val="24"/>
          <w:lang w:val="zh-CN"/>
        </w:rPr>
        <w:tab/>
      </w:r>
    </w:p>
    <w:p>
      <w:pPr>
        <w:spacing w:line="560" w:lineRule="exact"/>
        <w:ind w:firstLine="640" w:firstLineChars="200"/>
        <w:rPr>
          <w:rFonts w:hint="eastAsia" w:ascii="Times New Roman" w:hAnsi="Times New Roman" w:eastAsia="仿宋_GB2312"/>
          <w:sz w:val="32"/>
          <w:szCs w:val="24"/>
          <w:lang w:val="zh-CN"/>
        </w:rPr>
      </w:pPr>
      <w:bookmarkStart w:id="191" w:name="_Toc6408"/>
      <w:bookmarkStart w:id="192" w:name="_Toc21913"/>
      <w:r>
        <w:rPr>
          <w:rFonts w:hint="eastAsia" w:ascii="Times New Roman" w:hAnsi="Times New Roman" w:eastAsia="仿宋_GB2312"/>
          <w:sz w:val="32"/>
          <w:szCs w:val="24"/>
          <w:lang w:val="zh-CN"/>
        </w:rPr>
        <w:t>（一）项目完成情况</w:t>
      </w:r>
      <w:bookmarkEnd w:id="191"/>
      <w:bookmarkEnd w:id="192"/>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白果坝村、砥坝村都于2022年完成了圈舍新建，2023年初投放种兔入栏，符合项目进度要求</w:t>
      </w:r>
      <w:r>
        <w:rPr>
          <w:rFonts w:hint="eastAsia" w:ascii="仿宋" w:hAnsi="仿宋" w:eastAsia="仿宋" w:cs="仿宋"/>
          <w:color w:val="auto"/>
          <w:sz w:val="32"/>
          <w:szCs w:val="32"/>
          <w:shd w:val="clear" w:color="auto" w:fill="FFFFFF"/>
          <w:lang w:val="zh-CN" w:eastAsia="zh-CN"/>
        </w:rPr>
        <w:t>。同时两个村资金支付率</w:t>
      </w:r>
      <w:r>
        <w:rPr>
          <w:rFonts w:hint="eastAsia" w:ascii="仿宋" w:hAnsi="仿宋" w:eastAsia="仿宋" w:cs="仿宋"/>
          <w:color w:val="auto"/>
          <w:sz w:val="32"/>
          <w:szCs w:val="32"/>
          <w:shd w:val="clear" w:color="auto" w:fill="FFFFFF"/>
          <w:lang w:val="en-US" w:eastAsia="zh-CN"/>
        </w:rPr>
        <w:t>100%，无结存。</w:t>
      </w:r>
    </w:p>
    <w:p>
      <w:pPr>
        <w:spacing w:line="560" w:lineRule="exact"/>
        <w:ind w:firstLine="640" w:firstLineChars="200"/>
        <w:rPr>
          <w:rFonts w:hint="eastAsia" w:ascii="Times New Roman" w:hAnsi="Times New Roman" w:eastAsia="仿宋_GB2312"/>
          <w:sz w:val="32"/>
          <w:szCs w:val="24"/>
          <w:lang w:val="zh-CN"/>
        </w:rPr>
      </w:pPr>
      <w:bookmarkStart w:id="193" w:name="_Toc2087"/>
      <w:bookmarkStart w:id="194" w:name="_Toc31838"/>
      <w:r>
        <w:rPr>
          <w:rFonts w:hint="eastAsia" w:ascii="Times New Roman" w:hAnsi="Times New Roman" w:eastAsia="仿宋_GB2312"/>
          <w:sz w:val="32"/>
          <w:szCs w:val="24"/>
          <w:lang w:val="zh-CN"/>
        </w:rPr>
        <w:t>（二）项目效益情况</w:t>
      </w:r>
      <w:bookmarkEnd w:id="193"/>
      <w:bookmarkEnd w:id="194"/>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en-US" w:eastAsia="zh-CN"/>
        </w:rPr>
        <w:t>富硒兔产业发展为村级带来了集体经济效益，带动了群众受益，且项目可持续发展，群众满意度较高。</w:t>
      </w:r>
    </w:p>
    <w:p>
      <w:pPr>
        <w:spacing w:line="560" w:lineRule="exact"/>
        <w:ind w:firstLine="640" w:firstLineChars="200"/>
        <w:rPr>
          <w:rFonts w:hint="eastAsia" w:ascii="Times New Roman" w:hAnsi="Times New Roman" w:eastAsia="楷体"/>
          <w:sz w:val="32"/>
          <w:szCs w:val="24"/>
        </w:rPr>
      </w:pPr>
      <w:bookmarkStart w:id="195" w:name="_Toc23041"/>
      <w:bookmarkStart w:id="196" w:name="_Toc2502"/>
      <w:bookmarkStart w:id="197" w:name="_Toc9437"/>
      <w:r>
        <w:rPr>
          <w:rFonts w:hint="eastAsia" w:ascii="Times New Roman" w:hAnsi="Times New Roman" w:eastAsia="楷体"/>
          <w:sz w:val="32"/>
          <w:szCs w:val="24"/>
        </w:rPr>
        <w:t>五、评价结论及建议</w:t>
      </w:r>
      <w:bookmarkEnd w:id="195"/>
      <w:bookmarkEnd w:id="196"/>
      <w:bookmarkEnd w:id="197"/>
    </w:p>
    <w:p>
      <w:pPr>
        <w:spacing w:line="560" w:lineRule="exact"/>
        <w:ind w:firstLine="640" w:firstLineChars="200"/>
        <w:rPr>
          <w:rFonts w:hint="eastAsia" w:ascii="Times New Roman" w:hAnsi="Times New Roman" w:eastAsia="仿宋_GB2312"/>
          <w:sz w:val="32"/>
          <w:szCs w:val="24"/>
          <w:lang w:val="zh-CN"/>
        </w:rPr>
      </w:pPr>
      <w:bookmarkStart w:id="198" w:name="_Toc22321"/>
      <w:bookmarkStart w:id="199" w:name="_Toc20071"/>
      <w:r>
        <w:rPr>
          <w:rFonts w:hint="eastAsia" w:ascii="Times New Roman" w:hAnsi="Times New Roman" w:eastAsia="仿宋_GB2312"/>
          <w:sz w:val="32"/>
          <w:szCs w:val="24"/>
          <w:lang w:val="zh-CN"/>
        </w:rPr>
        <w:t>（一）评价结论</w:t>
      </w:r>
      <w:bookmarkEnd w:id="198"/>
      <w:bookmarkEnd w:id="199"/>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zh-CN" w:eastAsia="zh-CN"/>
        </w:rPr>
        <w:t>白果坝村绩效评价得分为：项目决策总分</w:t>
      </w:r>
      <w:r>
        <w:rPr>
          <w:rFonts w:hint="eastAsia" w:ascii="仿宋" w:hAnsi="仿宋" w:eastAsia="仿宋" w:cs="仿宋"/>
          <w:color w:val="auto"/>
          <w:sz w:val="32"/>
          <w:szCs w:val="32"/>
          <w:shd w:val="clear" w:color="auto" w:fill="FFFFFF"/>
          <w:lang w:val="en-US" w:eastAsia="zh-CN"/>
        </w:rPr>
        <w:t>8分，得分8分；项目实施总分9分，得分9分；完成结果总分23分，得分23分；项目结果总分20分，得分20分；经济效益总分20分，得分18分；社会效益总分10分，得分8分；</w:t>
      </w:r>
      <w:r>
        <w:rPr>
          <w:rFonts w:hint="eastAsia" w:ascii="仿宋_GB2312" w:hAnsi="仿宋_GB2312" w:eastAsia="宋体" w:cs="仿宋_GB2312"/>
          <w:color w:val="auto"/>
          <w:sz w:val="32"/>
          <w:szCs w:val="32"/>
          <w:shd w:val="clear" w:color="auto" w:fill="FFFFFF"/>
          <w:lang w:val="en-US" w:eastAsia="zh-CN"/>
        </w:rPr>
        <w:t>个性指标总分10分，得分10分，</w:t>
      </w:r>
      <w:r>
        <w:rPr>
          <w:rFonts w:hint="eastAsia" w:ascii="仿宋" w:hAnsi="仿宋" w:eastAsia="仿宋" w:cs="仿宋"/>
          <w:color w:val="auto"/>
          <w:sz w:val="32"/>
          <w:szCs w:val="32"/>
          <w:shd w:val="clear" w:color="auto" w:fill="FFFFFF"/>
          <w:lang w:val="en-US" w:eastAsia="zh-CN"/>
        </w:rPr>
        <w:t>总分96分，评价结果为“优”。</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zh-CN" w:eastAsia="zh-CN"/>
        </w:rPr>
        <w:t>砥坝村绩效评价得分为：项目决策总分</w:t>
      </w:r>
      <w:r>
        <w:rPr>
          <w:rFonts w:hint="eastAsia" w:ascii="仿宋" w:hAnsi="仿宋" w:eastAsia="仿宋" w:cs="仿宋"/>
          <w:color w:val="auto"/>
          <w:sz w:val="32"/>
          <w:szCs w:val="32"/>
          <w:shd w:val="clear" w:color="auto" w:fill="FFFFFF"/>
          <w:lang w:val="en-US" w:eastAsia="zh-CN"/>
        </w:rPr>
        <w:t>8分，得分8分；项目实施总分9分，得分9分；完成结果总分23分，得分23分；项目结果总分20分，得分20分；经济效益总分20分，得分18分；社会效益总分10分，得分8分；</w:t>
      </w:r>
      <w:r>
        <w:rPr>
          <w:rFonts w:hint="eastAsia" w:ascii="仿宋_GB2312" w:hAnsi="仿宋_GB2312" w:eastAsia="宋体" w:cs="仿宋_GB2312"/>
          <w:color w:val="auto"/>
          <w:sz w:val="32"/>
          <w:szCs w:val="32"/>
          <w:shd w:val="clear" w:color="auto" w:fill="FFFFFF"/>
          <w:lang w:val="en-US" w:eastAsia="zh-CN"/>
        </w:rPr>
        <w:t>个性指标总分10分，得分10分，</w:t>
      </w:r>
      <w:r>
        <w:rPr>
          <w:rFonts w:hint="eastAsia" w:ascii="仿宋" w:hAnsi="仿宋" w:eastAsia="仿宋" w:cs="仿宋"/>
          <w:color w:val="auto"/>
          <w:sz w:val="32"/>
          <w:szCs w:val="32"/>
          <w:shd w:val="clear" w:color="auto" w:fill="FFFFFF"/>
          <w:lang w:val="en-US" w:eastAsia="zh-CN"/>
        </w:rPr>
        <w:t>总分96分，评价结果为“优”。</w:t>
      </w:r>
    </w:p>
    <w:p>
      <w:pPr>
        <w:spacing w:line="560" w:lineRule="exact"/>
        <w:ind w:firstLine="640" w:firstLineChars="200"/>
        <w:rPr>
          <w:rFonts w:hint="eastAsia" w:ascii="Times New Roman" w:hAnsi="Times New Roman" w:eastAsia="仿宋_GB2312"/>
          <w:sz w:val="32"/>
          <w:szCs w:val="24"/>
          <w:lang w:val="zh-CN"/>
        </w:rPr>
      </w:pPr>
      <w:bookmarkStart w:id="200" w:name="_Toc16567"/>
      <w:bookmarkStart w:id="201" w:name="_Toc14726"/>
      <w:r>
        <w:rPr>
          <w:rFonts w:hint="eastAsia" w:ascii="Times New Roman" w:hAnsi="Times New Roman" w:eastAsia="仿宋_GB2312"/>
          <w:sz w:val="32"/>
          <w:szCs w:val="24"/>
          <w:lang w:val="zh-CN"/>
        </w:rPr>
        <w:t>（二）存在的问题</w:t>
      </w:r>
      <w:bookmarkEnd w:id="200"/>
      <w:bookmarkEnd w:id="201"/>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一是兔子死亡率较高；</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二是饲料价格高，回收价格低；</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三是养殖人员的养殖技术有待提高；</w:t>
      </w:r>
    </w:p>
    <w:p>
      <w:pPr>
        <w:spacing w:line="560" w:lineRule="exact"/>
        <w:ind w:firstLine="640" w:firstLineChars="200"/>
        <w:rPr>
          <w:rFonts w:hint="eastAsia" w:ascii="Times New Roman" w:hAnsi="Times New Roman" w:eastAsia="仿宋_GB2312"/>
          <w:sz w:val="32"/>
          <w:szCs w:val="24"/>
          <w:lang w:val="zh-CN"/>
        </w:rPr>
      </w:pPr>
      <w:bookmarkStart w:id="202" w:name="_Toc28746"/>
      <w:bookmarkStart w:id="203" w:name="_Toc4897"/>
      <w:r>
        <w:rPr>
          <w:rFonts w:hint="eastAsia" w:ascii="Times New Roman" w:hAnsi="Times New Roman" w:eastAsia="仿宋_GB2312"/>
          <w:sz w:val="32"/>
          <w:szCs w:val="24"/>
          <w:lang w:val="zh-CN"/>
        </w:rPr>
        <w:t>（三）相关建议</w:t>
      </w:r>
      <w:bookmarkEnd w:id="202"/>
      <w:bookmarkEnd w:id="203"/>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加强专业技术业务指导，拓宽市场争</w:t>
      </w:r>
      <w:r>
        <w:rPr>
          <w:rFonts w:hint="eastAsia" w:ascii="仿宋" w:hAnsi="仿宋" w:eastAsia="仿宋" w:cs="仿宋"/>
          <w:color w:val="auto"/>
          <w:sz w:val="32"/>
          <w:szCs w:val="32"/>
          <w:u w:val="none" w:color="FFFFFF"/>
          <w:shd w:val="clear" w:color="auto" w:fill="FFFFFF"/>
          <w:lang w:val="zh-CN" w:eastAsia="zh-CN"/>
        </w:rPr>
        <w:t>取</w:t>
      </w:r>
      <w:r>
        <w:rPr>
          <w:rFonts w:hint="eastAsia" w:ascii="仿宋" w:hAnsi="仿宋" w:eastAsia="仿宋" w:cs="仿宋"/>
          <w:color w:val="auto"/>
          <w:sz w:val="32"/>
          <w:szCs w:val="32"/>
          <w:shd w:val="clear" w:color="auto" w:fill="FFFFFF"/>
          <w:lang w:val="zh-CN" w:eastAsia="zh-CN"/>
        </w:rPr>
        <w:t>提高销售价格，降低成本。</w:t>
      </w:r>
    </w:p>
    <w:p>
      <w:pPr>
        <w:widowControl/>
        <w:numPr>
          <w:ilvl w:val="0"/>
          <w:numId w:val="0"/>
        </w:numPr>
        <w:autoSpaceDE/>
        <w:autoSpaceDN/>
        <w:snapToGrid w:val="0"/>
        <w:spacing w:line="578" w:lineRule="exact"/>
        <w:rPr>
          <w:rFonts w:hint="eastAsia" w:ascii="仿宋_GB2312" w:hAnsi="仿宋_GB2312" w:eastAsia="仿宋_GB2312" w:cs="仿宋_GB2312"/>
          <w:color w:val="auto"/>
          <w:sz w:val="32"/>
          <w:szCs w:val="32"/>
          <w:shd w:val="clear" w:color="auto" w:fill="FFFFFF"/>
          <w:lang w:val="zh-CN" w:eastAsia="zh-CN"/>
        </w:rPr>
      </w:pPr>
      <w:r>
        <w:rPr>
          <w:rFonts w:hint="eastAsia" w:ascii="仿宋_GB2312" w:hAnsi="仿宋_GB2312" w:eastAsia="仿宋_GB2312" w:cs="仿宋_GB2312"/>
          <w:color w:val="auto"/>
          <w:sz w:val="32"/>
          <w:szCs w:val="32"/>
          <w:shd w:val="clear" w:color="auto" w:fill="FFFFFF"/>
          <w:lang w:val="zh-CN" w:eastAsia="zh-CN"/>
        </w:rPr>
        <w:t>附表：</w:t>
      </w:r>
    </w:p>
    <w:p>
      <w:pPr>
        <w:widowControl/>
        <w:numPr>
          <w:ilvl w:val="0"/>
          <w:numId w:val="0"/>
        </w:numPr>
        <w:autoSpaceDE/>
        <w:autoSpaceDN/>
        <w:snapToGrid w:val="0"/>
        <w:spacing w:line="578" w:lineRule="exact"/>
        <w:jc w:val="center"/>
        <w:rPr>
          <w:rFonts w:hint="eastAsia" w:ascii="方正小标宋_GBK" w:hAnsi="方正小标宋_GBK" w:eastAsia="方正小标宋_GBK" w:cs="方正小标宋_GBK"/>
          <w:color w:val="auto"/>
          <w:sz w:val="32"/>
          <w:szCs w:val="32"/>
          <w:lang w:val="en-US" w:eastAsia="zh-CN"/>
        </w:rPr>
      </w:pPr>
      <w:bookmarkStart w:id="204" w:name="_Toc13155"/>
      <w:r>
        <w:rPr>
          <w:rFonts w:hint="eastAsia" w:ascii="方正小标宋_GBK" w:hAnsi="方正小标宋_GBK" w:eastAsia="方正小标宋_GBK" w:cs="方正小标宋_GBK"/>
          <w:color w:val="auto"/>
          <w:sz w:val="32"/>
          <w:szCs w:val="32"/>
          <w:lang w:val="en-US" w:eastAsia="zh-CN"/>
        </w:rPr>
        <w:t>板桥口镇人民政府富硒</w:t>
      </w:r>
      <w:r>
        <w:rPr>
          <w:rFonts w:hint="eastAsia" w:ascii="方正小标宋_GBK" w:hAnsi="方正小标宋_GBK" w:eastAsia="方正小标宋_GBK" w:cs="方正小标宋_GBK"/>
          <w:color w:val="auto"/>
          <w:sz w:val="32"/>
          <w:szCs w:val="32"/>
          <w:u w:val="none" w:color="FFFFFF"/>
          <w:shd w:val="clear" w:fill="FFFFFF"/>
          <w:lang w:val="en-US" w:eastAsia="zh-CN"/>
        </w:rPr>
        <w:t>肉兔</w:t>
      </w:r>
      <w:r>
        <w:rPr>
          <w:rFonts w:hint="eastAsia" w:ascii="方正小标宋_GBK" w:hAnsi="方正小标宋_GBK" w:eastAsia="方正小标宋_GBK" w:cs="方正小标宋_GBK"/>
          <w:color w:val="auto"/>
          <w:sz w:val="32"/>
          <w:szCs w:val="32"/>
          <w:lang w:val="en-US" w:eastAsia="zh-CN"/>
        </w:rPr>
        <w:t>项目资金</w:t>
      </w:r>
      <w:bookmarkEnd w:id="204"/>
    </w:p>
    <w:p>
      <w:pPr>
        <w:widowControl/>
        <w:numPr>
          <w:ilvl w:val="0"/>
          <w:numId w:val="0"/>
        </w:numPr>
        <w:autoSpaceDE/>
        <w:autoSpaceDN/>
        <w:snapToGrid w:val="0"/>
        <w:spacing w:line="578" w:lineRule="exact"/>
        <w:jc w:val="center"/>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分配涉及所有点位自评得分情况表</w:t>
      </w:r>
    </w:p>
    <w:tbl>
      <w:tblPr>
        <w:tblStyle w:val="1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3895"/>
        <w:gridCol w:w="289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序号</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黑体" w:hAnsi="黑体" w:eastAsia="黑体" w:cs="黑体"/>
                <w:color w:val="auto"/>
                <w:sz w:val="28"/>
                <w:szCs w:val="28"/>
                <w:lang w:val="en" w:eastAsia="zh-CN"/>
              </w:rPr>
            </w:pPr>
            <w:r>
              <w:rPr>
                <w:rFonts w:hint="eastAsia" w:ascii="黑体" w:hAnsi="黑体" w:eastAsia="黑体" w:cs="黑体"/>
                <w:color w:val="auto"/>
                <w:sz w:val="28"/>
                <w:szCs w:val="28"/>
                <w:lang w:val="en-US" w:eastAsia="zh-CN"/>
              </w:rPr>
              <w:t>项目资金末端分配点位</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 w:eastAsia="zh-CN"/>
              </w:rPr>
              <w:t>自评得分（百分制）</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napToGrid w:val="0"/>
              <w:spacing w:line="560" w:lineRule="exact"/>
              <w:ind w:firstLine="640" w:firstLineChars="200"/>
              <w:rPr>
                <w:rFonts w:hint="eastAsia" w:ascii="仿宋" w:hAnsi="仿宋" w:eastAsia="仿宋" w:cs="仿宋"/>
                <w:sz w:val="32"/>
                <w:szCs w:val="32"/>
                <w:lang w:val="en" w:eastAsia="zh-CN"/>
              </w:rPr>
            </w:pPr>
            <w:r>
              <w:rPr>
                <w:rFonts w:hint="eastAsia" w:ascii="仿宋" w:hAnsi="仿宋" w:eastAsia="仿宋" w:cs="仿宋"/>
                <w:sz w:val="32"/>
                <w:szCs w:val="32"/>
                <w:lang w:val="en" w:eastAsia="zh-CN"/>
              </w:rPr>
              <w:t>板桥口镇白果坝村</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napToGrid w:val="0"/>
              <w:spacing w:line="560" w:lineRule="exact"/>
              <w:ind w:firstLine="640" w:firstLineChars="200"/>
              <w:rPr>
                <w:rFonts w:hint="eastAsia" w:ascii="仿宋" w:hAnsi="仿宋" w:eastAsia="仿宋" w:cs="仿宋"/>
                <w:sz w:val="32"/>
                <w:szCs w:val="32"/>
                <w:lang w:val="en" w:eastAsia="zh-CN"/>
              </w:rPr>
            </w:pPr>
            <w:r>
              <w:rPr>
                <w:rFonts w:hint="eastAsia" w:ascii="仿宋" w:hAnsi="仿宋" w:eastAsia="仿宋" w:cs="仿宋"/>
                <w:sz w:val="32"/>
                <w:szCs w:val="32"/>
                <w:lang w:val="en" w:eastAsia="zh-CN"/>
              </w:rPr>
              <w:t>板桥口镇砥坝村</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389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 w:eastAsia="zh-CN"/>
              </w:rPr>
            </w:pP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line="578" w:lineRule="exact"/>
              <w:rPr>
                <w:rFonts w:hint="eastAsia" w:ascii="宋体" w:hAnsi="宋体" w:eastAsia="宋体" w:cs="宋体"/>
                <w:color w:val="auto"/>
                <w:sz w:val="28"/>
                <w:szCs w:val="28"/>
                <w:lang w:val="en-US" w:eastAsia="zh-CN"/>
              </w:rPr>
            </w:pPr>
          </w:p>
        </w:tc>
      </w:tr>
    </w:tbl>
    <w:p>
      <w:pPr>
        <w:autoSpaceDE/>
        <w:autoSpaceDN/>
        <w:adjustRightInd/>
        <w:spacing w:line="400" w:lineRule="exact"/>
        <w:rPr>
          <w:rFonts w:hint="eastAsia" w:ascii="宋体" w:hAnsi="宋体" w:eastAsia="宋体" w:cs="宋体"/>
          <w:color w:val="auto"/>
          <w:sz w:val="21"/>
          <w:szCs w:val="21"/>
          <w:u w:val="thick" w:color="98967F"/>
          <w:shd w:val="clear" w:fill="98967F"/>
          <w:lang w:val="en-US" w:eastAsia="zh-CN"/>
        </w:rPr>
      </w:pPr>
      <w:r>
        <w:rPr>
          <w:rFonts w:hint="eastAsia" w:ascii="宋体" w:hAnsi="宋体" w:eastAsia="宋体" w:cs="宋体"/>
          <w:color w:val="auto"/>
          <w:sz w:val="21"/>
          <w:szCs w:val="21"/>
          <w:lang w:val="en-US" w:eastAsia="zh-CN"/>
        </w:rPr>
        <w:t>备注：1、</w:t>
      </w:r>
      <w:r>
        <w:rPr>
          <w:rFonts w:hint="eastAsia" w:ascii="宋体" w:hAnsi="宋体" w:eastAsia="宋体" w:cs="宋体"/>
          <w:color w:val="auto"/>
          <w:sz w:val="21"/>
          <w:szCs w:val="21"/>
          <w:u w:val="thick" w:color="98967F"/>
          <w:shd w:val="clear" w:fill="98967F"/>
          <w:lang w:val="en-US" w:eastAsia="zh-CN"/>
        </w:rPr>
        <w:t>项</w:t>
      </w:r>
      <w:r>
        <w:rPr>
          <w:rFonts w:hint="eastAsia" w:ascii="宋体" w:hAnsi="宋体" w:eastAsia="宋体" w:cs="宋体"/>
          <w:color w:val="auto"/>
          <w:sz w:val="21"/>
          <w:szCs w:val="21"/>
          <w:u w:val="thick" w:color="98967F"/>
          <w:shd w:val="clear" w:fill="98967F"/>
          <w:lang w:val="en-US" w:eastAsia="zh-CN"/>
        </w:rPr>
        <w:t>目</w:t>
      </w:r>
      <w:r>
        <w:rPr>
          <w:rFonts w:hint="eastAsia" w:ascii="宋体" w:hAnsi="宋体" w:eastAsia="宋体" w:cs="宋体"/>
          <w:color w:val="auto"/>
          <w:sz w:val="21"/>
          <w:szCs w:val="21"/>
          <w:u w:val="thick" w:color="98967F"/>
          <w:shd w:val="clear" w:fill="98967F"/>
          <w:lang w:val="en-US" w:eastAsia="zh-CN"/>
        </w:rPr>
        <w:t>资金末端分配点位包括各乡镇、各部门下属单位及一次性单位等。</w:t>
      </w:r>
    </w:p>
    <w:p>
      <w:pPr>
        <w:autoSpaceDE/>
        <w:autoSpaceDN/>
        <w:adjustRightInd/>
        <w:spacing w:line="4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u w:val="thick" w:color="98967F"/>
          <w:shd w:val="clear" w:fill="98967F"/>
          <w:lang w:val="en-US" w:eastAsia="zh-CN"/>
        </w:rPr>
        <w:t xml:space="preserve">    </w:t>
      </w:r>
      <w:r>
        <w:rPr>
          <w:rFonts w:hint="eastAsia" w:ascii="宋体" w:hAnsi="宋体" w:eastAsia="宋体" w:cs="宋体"/>
          <w:color w:val="auto"/>
          <w:sz w:val="21"/>
          <w:szCs w:val="21"/>
          <w:lang w:val="en-US" w:eastAsia="zh-CN"/>
        </w:rPr>
        <w:t xml:space="preserve">  2</w:t>
      </w:r>
      <w:r>
        <w:rPr>
          <w:rFonts w:hint="eastAsia" w:ascii="宋体" w:hAnsi="宋体" w:eastAsia="宋体" w:cs="宋体"/>
          <w:color w:val="auto"/>
          <w:sz w:val="21"/>
          <w:szCs w:val="21"/>
          <w:u w:val="none" w:color="FFFFFF"/>
          <w:shd w:val="clear" w:fill="FFFFFF"/>
          <w:lang w:val="en-US" w:eastAsia="zh-CN"/>
        </w:rPr>
        <w:t>、</w:t>
      </w:r>
      <w:r>
        <w:rPr>
          <w:rFonts w:hint="eastAsia" w:ascii="宋体" w:hAnsi="宋体" w:eastAsia="宋体" w:cs="宋体"/>
          <w:color w:val="auto"/>
          <w:sz w:val="21"/>
          <w:szCs w:val="21"/>
          <w:lang w:val="en-US" w:eastAsia="zh-CN"/>
        </w:rPr>
        <w:t>自评得分（百分制）从高到低划分为优、良、中、差四个档次，各个档次数量占比分别为20%、20%、55%、5%，且不同档次间得分分值应体现差异化，同档次得分分值相同的比例不超过该档次总数量的10%。</w:t>
      </w:r>
    </w:p>
    <w:p>
      <w:pPr>
        <w:spacing w:line="580" w:lineRule="exact"/>
        <w:jc w:val="both"/>
        <w:rPr>
          <w:rFonts w:hint="eastAsia" w:ascii="黑体" w:hAnsi="黑体" w:eastAsia="黑体"/>
          <w:color w:val="FF0000"/>
          <w:kern w:val="44"/>
          <w:sz w:val="44"/>
          <w:szCs w:val="24"/>
          <w:lang w:val="en-US"/>
        </w:rPr>
      </w:pPr>
    </w:p>
    <w:p>
      <w:pPr>
        <w:pStyle w:val="11"/>
        <w:rPr>
          <w:rFonts w:hint="eastAsia" w:ascii="黑体" w:hAnsi="黑体" w:eastAsia="黑体"/>
          <w:color w:val="FF0000"/>
          <w:kern w:val="44"/>
          <w:sz w:val="44"/>
          <w:szCs w:val="24"/>
          <w:lang w:val="en-US"/>
        </w:rPr>
      </w:pPr>
    </w:p>
    <w:p>
      <w:pPr>
        <w:pStyle w:val="11"/>
        <w:rPr>
          <w:rFonts w:hint="eastAsia" w:ascii="黑体" w:hAnsi="黑体" w:eastAsia="黑体"/>
          <w:color w:val="FF0000"/>
          <w:kern w:val="44"/>
          <w:sz w:val="44"/>
          <w:szCs w:val="24"/>
          <w:lang w:val="en-US"/>
        </w:rPr>
      </w:pPr>
    </w:p>
    <w:p>
      <w:pPr>
        <w:pStyle w:val="11"/>
        <w:rPr>
          <w:rFonts w:hint="eastAsia" w:ascii="黑体" w:hAnsi="黑体" w:eastAsia="黑体"/>
          <w:color w:val="FF0000"/>
          <w:kern w:val="44"/>
          <w:sz w:val="44"/>
          <w:szCs w:val="24"/>
          <w:lang w:val="en-US"/>
        </w:rPr>
      </w:pPr>
    </w:p>
    <w:p>
      <w:pPr>
        <w:pStyle w:val="11"/>
        <w:rPr>
          <w:rFonts w:hint="eastAsia" w:ascii="黑体" w:hAnsi="黑体" w:eastAsia="黑体"/>
          <w:color w:val="FF0000"/>
          <w:kern w:val="44"/>
          <w:sz w:val="44"/>
          <w:szCs w:val="24"/>
          <w:lang w:val="en-US"/>
        </w:rPr>
      </w:pPr>
    </w:p>
    <w:p>
      <w:pPr>
        <w:pStyle w:val="11"/>
        <w:rPr>
          <w:rFonts w:hint="eastAsia" w:ascii="黑体" w:hAnsi="黑体" w:eastAsia="黑体"/>
          <w:color w:val="FF0000"/>
          <w:kern w:val="44"/>
          <w:sz w:val="44"/>
          <w:szCs w:val="24"/>
          <w:lang w:val="en-US"/>
        </w:rPr>
      </w:pPr>
    </w:p>
    <w:p>
      <w:pPr>
        <w:pStyle w:val="21"/>
        <w:autoSpaceDE/>
        <w:autoSpaceDN/>
        <w:spacing w:line="578" w:lineRule="exact"/>
        <w:jc w:val="both"/>
        <w:rPr>
          <w:rFonts w:hint="eastAsia" w:ascii="方正小标宋简体" w:hAnsi="方正小标宋简体" w:eastAsia="方正小标宋简体" w:cs="方正小标宋简体"/>
          <w:b/>
          <w:color w:val="auto"/>
          <w:kern w:val="2"/>
          <w:sz w:val="44"/>
          <w:szCs w:val="44"/>
          <w:lang w:val="en-US"/>
        </w:rPr>
      </w:pPr>
    </w:p>
    <w:p>
      <w:pPr>
        <w:pStyle w:val="21"/>
        <w:autoSpaceDE/>
        <w:autoSpaceDN/>
        <w:spacing w:line="578" w:lineRule="exact"/>
        <w:jc w:val="center"/>
        <w:rPr>
          <w:rFonts w:hint="eastAsia" w:ascii="方正小标宋简体" w:hAnsi="方正小标宋简体" w:eastAsia="方正小标宋简体" w:cs="方正小标宋简体"/>
          <w:b/>
          <w:color w:val="auto"/>
          <w:kern w:val="2"/>
          <w:sz w:val="44"/>
          <w:szCs w:val="44"/>
          <w:lang w:val="en-US"/>
        </w:rPr>
      </w:pPr>
    </w:p>
    <w:p>
      <w:pPr>
        <w:rPr>
          <w:rFonts w:hint="eastAsia" w:ascii="Times New Roman" w:hAnsi="Times New Roman" w:eastAsia="黑体"/>
          <w:sz w:val="32"/>
          <w:szCs w:val="24"/>
          <w:lang w:val="en-US" w:eastAsia="zh-CN"/>
        </w:rPr>
      </w:pPr>
    </w:p>
    <w:p>
      <w:pPr>
        <w:rPr>
          <w:rFonts w:hint="eastAsia" w:ascii="Times New Roman" w:hAnsi="Times New Roman" w:eastAsia="黑体"/>
          <w:sz w:val="32"/>
          <w:szCs w:val="24"/>
          <w:lang w:val="en-US" w:eastAsia="zh-CN"/>
        </w:rPr>
      </w:pPr>
    </w:p>
    <w:p>
      <w:pPr>
        <w:rPr>
          <w:rFonts w:hint="eastAsia" w:ascii="Times New Roman" w:hAnsi="Times New Roman" w:eastAsia="黑体"/>
          <w:sz w:val="32"/>
          <w:szCs w:val="24"/>
          <w:lang w:val="en-US" w:eastAsia="zh-CN"/>
        </w:rPr>
      </w:pPr>
    </w:p>
    <w:p>
      <w:pPr>
        <w:rPr>
          <w:rFonts w:hint="eastAsia" w:ascii="Times New Roman" w:hAnsi="Times New Roman" w:eastAsia="黑体"/>
          <w:sz w:val="32"/>
          <w:szCs w:val="24"/>
          <w:lang w:val="en-US" w:eastAsia="zh-CN"/>
        </w:rPr>
      </w:pPr>
    </w:p>
    <w:p>
      <w:pPr>
        <w:rPr>
          <w:rFonts w:hint="eastAsia" w:ascii="方正小标宋简体" w:hAnsi="方正小标宋简体" w:eastAsia="方正小标宋简体" w:cs="方正小标宋简体"/>
          <w:color w:val="auto"/>
          <w:kern w:val="2"/>
          <w:sz w:val="44"/>
          <w:szCs w:val="44"/>
          <w:lang w:val="en-US"/>
        </w:rPr>
      </w:pPr>
      <w:bookmarkStart w:id="205" w:name="_Toc27773"/>
      <w:r>
        <w:rPr>
          <w:rFonts w:hint="eastAsia" w:ascii="Times New Roman" w:hAnsi="Times New Roman" w:eastAsia="黑体"/>
          <w:sz w:val="32"/>
          <w:szCs w:val="24"/>
          <w:lang w:val="en-US" w:eastAsia="zh-CN"/>
        </w:rPr>
        <w:t>附件3</w:t>
      </w:r>
      <w:bookmarkEnd w:id="205"/>
    </w:p>
    <w:p>
      <w:pPr>
        <w:jc w:val="center"/>
        <w:rPr>
          <w:rFonts w:hint="eastAsia" w:ascii="Times New Roman" w:hAnsi="Times New Roman" w:eastAsia="黑体"/>
          <w:sz w:val="32"/>
          <w:szCs w:val="24"/>
          <w:lang w:val="en-US"/>
        </w:rPr>
      </w:pPr>
      <w:bookmarkStart w:id="206" w:name="_Toc12388"/>
      <w:bookmarkStart w:id="207" w:name="_Toc1821"/>
      <w:bookmarkStart w:id="208" w:name="_Toc8706"/>
      <w:r>
        <w:rPr>
          <w:rFonts w:hint="eastAsia" w:ascii="Times New Roman" w:hAnsi="Times New Roman" w:eastAsia="黑体"/>
          <w:sz w:val="32"/>
          <w:szCs w:val="24"/>
          <w:lang w:val="en-US"/>
        </w:rPr>
        <w:t>通江县板桥口镇人民政府</w:t>
      </w:r>
      <w:bookmarkEnd w:id="206"/>
      <w:bookmarkEnd w:id="207"/>
      <w:bookmarkEnd w:id="208"/>
    </w:p>
    <w:p>
      <w:pPr>
        <w:jc w:val="center"/>
        <w:rPr>
          <w:rFonts w:hint="eastAsia" w:ascii="Times New Roman" w:hAnsi="Times New Roman" w:eastAsia="黑体"/>
          <w:sz w:val="32"/>
          <w:szCs w:val="24"/>
          <w:lang w:val="en-US"/>
        </w:rPr>
      </w:pPr>
      <w:bookmarkStart w:id="209" w:name="_Toc7282"/>
      <w:bookmarkStart w:id="210" w:name="_Toc18858"/>
      <w:bookmarkStart w:id="211" w:name="_Toc2518"/>
      <w:r>
        <w:rPr>
          <w:rFonts w:hint="eastAsia" w:ascii="Times New Roman" w:hAnsi="Times New Roman" w:eastAsia="黑体"/>
          <w:sz w:val="32"/>
          <w:szCs w:val="24"/>
          <w:lang w:val="en-US"/>
        </w:rPr>
        <w:t>关于砥坝村产业园建设资金的绩效自评报告</w:t>
      </w:r>
      <w:bookmarkEnd w:id="209"/>
      <w:bookmarkEnd w:id="210"/>
      <w:bookmarkEnd w:id="211"/>
    </w:p>
    <w:p>
      <w:pPr>
        <w:autoSpaceDE/>
        <w:autoSpaceDN/>
        <w:snapToGrid w:val="0"/>
        <w:spacing w:line="578" w:lineRule="exact"/>
        <w:ind w:firstLine="720"/>
        <w:rPr>
          <w:rFonts w:hint="eastAsia" w:ascii="黑体" w:hAnsi="宋体" w:eastAsia="黑体"/>
          <w:sz w:val="24"/>
          <w:szCs w:val="24"/>
        </w:rPr>
      </w:pPr>
    </w:p>
    <w:p>
      <w:pPr>
        <w:spacing w:line="560" w:lineRule="exact"/>
        <w:ind w:firstLine="640" w:firstLineChars="200"/>
        <w:rPr>
          <w:rFonts w:hint="eastAsia" w:ascii="Times New Roman" w:hAnsi="Times New Roman" w:eastAsia="楷体"/>
          <w:sz w:val="32"/>
          <w:szCs w:val="24"/>
          <w:lang w:val="zh-CN"/>
        </w:rPr>
      </w:pPr>
      <w:bookmarkStart w:id="212" w:name="_Toc24103"/>
      <w:bookmarkStart w:id="213" w:name="_Toc19358"/>
      <w:bookmarkStart w:id="214" w:name="_Toc7022"/>
      <w:r>
        <w:rPr>
          <w:rFonts w:hint="eastAsia" w:ascii="Times New Roman" w:hAnsi="Times New Roman" w:eastAsia="楷体"/>
          <w:sz w:val="32"/>
          <w:szCs w:val="24"/>
        </w:rPr>
        <w:t>一、</w:t>
      </w:r>
      <w:r>
        <w:rPr>
          <w:rFonts w:hint="eastAsia" w:ascii="Times New Roman" w:hAnsi="Times New Roman" w:eastAsia="楷体"/>
          <w:sz w:val="32"/>
          <w:szCs w:val="24"/>
          <w:lang w:val="zh-CN"/>
        </w:rPr>
        <w:t>项目概况</w:t>
      </w:r>
      <w:bookmarkEnd w:id="212"/>
      <w:bookmarkEnd w:id="213"/>
      <w:bookmarkEnd w:id="214"/>
    </w:p>
    <w:p>
      <w:pPr>
        <w:spacing w:line="560" w:lineRule="exact"/>
        <w:ind w:firstLine="640" w:firstLineChars="200"/>
        <w:rPr>
          <w:rFonts w:hint="eastAsia" w:ascii="Times New Roman" w:hAnsi="Times New Roman" w:eastAsia="仿宋_GB2312"/>
          <w:sz w:val="32"/>
          <w:szCs w:val="24"/>
          <w:lang w:val="zh-CN"/>
        </w:rPr>
      </w:pPr>
      <w:bookmarkStart w:id="215" w:name="_Toc26516"/>
      <w:bookmarkStart w:id="216" w:name="_Toc2894"/>
      <w:r>
        <w:rPr>
          <w:rFonts w:hint="eastAsia" w:ascii="Times New Roman" w:hAnsi="Times New Roman" w:eastAsia="仿宋_GB2312"/>
          <w:sz w:val="32"/>
          <w:szCs w:val="24"/>
          <w:lang w:val="zh-CN"/>
        </w:rPr>
        <w:t>（一）项目基本情况</w:t>
      </w:r>
      <w:bookmarkEnd w:id="215"/>
      <w:bookmarkEnd w:id="216"/>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zh-CN" w:eastAsia="zh-CN"/>
        </w:rPr>
        <w:t>1．项目主管部门（单位）在该项目管理中的职能。砥坝村产业园建设资金支出主管单位为板桥口镇人民政府，资金主要用于砥坝村产业园建设项目。</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2．项目立项、资金申报的依据。通财农〔2022〕44号文件。</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zh-CN" w:eastAsia="zh-CN"/>
        </w:rPr>
        <w:t>3．资金管理办法制定情况，资金支持具体项目的条件、范围与支持方式概况。</w:t>
      </w:r>
      <w:r>
        <w:rPr>
          <w:rFonts w:hint="eastAsia" w:ascii="仿宋" w:hAnsi="仿宋" w:eastAsia="仿宋" w:cs="仿宋"/>
          <w:color w:val="auto"/>
          <w:sz w:val="32"/>
          <w:szCs w:val="32"/>
          <w:u w:val="none" w:color="FFFFFF"/>
          <w:shd w:val="clear" w:color="auto" w:fill="FFFFFF"/>
          <w:lang w:val="zh-CN" w:eastAsia="zh-CN"/>
        </w:rPr>
        <w:t>资金主要用于我镇砥坝村产业园建设项目，进一步壮大村集体经济收入。</w:t>
      </w:r>
    </w:p>
    <w:p>
      <w:pPr>
        <w:spacing w:line="560" w:lineRule="exact"/>
        <w:ind w:firstLine="640" w:firstLineChars="200"/>
        <w:rPr>
          <w:rFonts w:hint="eastAsia" w:ascii="Times New Roman" w:hAnsi="Times New Roman" w:eastAsia="仿宋_GB2312"/>
          <w:sz w:val="32"/>
          <w:szCs w:val="24"/>
          <w:lang w:val="zh-CN"/>
        </w:rPr>
      </w:pPr>
      <w:bookmarkStart w:id="217" w:name="_Toc18546"/>
      <w:bookmarkStart w:id="218" w:name="_Toc4705"/>
      <w:r>
        <w:rPr>
          <w:rFonts w:hint="eastAsia" w:ascii="Times New Roman" w:hAnsi="Times New Roman" w:eastAsia="仿宋_GB2312"/>
          <w:sz w:val="32"/>
          <w:szCs w:val="24"/>
          <w:lang w:val="zh-CN"/>
        </w:rPr>
        <w:t>（二）项目绩效目标</w:t>
      </w:r>
      <w:bookmarkEnd w:id="217"/>
      <w:bookmarkEnd w:id="218"/>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1．项目主要内容。用于我镇砥坝村产业建设项目，进一步壮大村集体经济收入，使村民增收致富。</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zh-CN" w:eastAsia="zh-CN"/>
        </w:rPr>
        <w:t>2．项目应实现的具体绩效目标。</w:t>
      </w:r>
      <w:r>
        <w:rPr>
          <w:rFonts w:hint="eastAsia" w:ascii="仿宋" w:hAnsi="仿宋" w:eastAsia="仿宋" w:cs="仿宋"/>
          <w:color w:val="auto"/>
          <w:sz w:val="32"/>
          <w:szCs w:val="32"/>
          <w:shd w:val="clear" w:color="auto" w:fill="FFFFFF"/>
          <w:lang w:val="en-US" w:eastAsia="zh-CN"/>
        </w:rPr>
        <w:t>支持发展集体经济，</w:t>
      </w:r>
      <w:r>
        <w:rPr>
          <w:rFonts w:hint="eastAsia" w:ascii="仿宋" w:hAnsi="仿宋" w:eastAsia="仿宋" w:cs="仿宋"/>
          <w:color w:val="auto"/>
          <w:sz w:val="32"/>
          <w:szCs w:val="32"/>
          <w:u w:val="none" w:color="FFFFFF"/>
          <w:shd w:val="clear" w:color="auto" w:fill="FFFFFF"/>
          <w:lang w:val="en-US" w:eastAsia="zh-CN"/>
        </w:rPr>
        <w:t>建成</w:t>
      </w:r>
      <w:r>
        <w:rPr>
          <w:rFonts w:hint="eastAsia" w:ascii="仿宋" w:hAnsi="仿宋" w:eastAsia="仿宋" w:cs="仿宋"/>
          <w:color w:val="auto"/>
          <w:sz w:val="32"/>
          <w:szCs w:val="32"/>
          <w:shd w:val="clear" w:color="auto" w:fill="FFFFFF"/>
          <w:lang w:val="en-US" w:eastAsia="zh-CN"/>
        </w:rPr>
        <w:t>食用菌大棚13个，每个50平方米，种植香菇、银耳、种植中药材100亩。</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3．评价申报内容与实际相符，申报目标合理可行。</w:t>
      </w:r>
    </w:p>
    <w:p>
      <w:pPr>
        <w:spacing w:line="560" w:lineRule="exact"/>
        <w:ind w:firstLine="640" w:firstLineChars="200"/>
        <w:rPr>
          <w:rFonts w:hint="eastAsia" w:ascii="Times New Roman" w:hAnsi="Times New Roman" w:eastAsia="仿宋_GB2312"/>
          <w:sz w:val="32"/>
          <w:szCs w:val="24"/>
          <w:lang w:val="zh-CN"/>
        </w:rPr>
      </w:pPr>
      <w:bookmarkStart w:id="219" w:name="_Toc13319"/>
      <w:bookmarkStart w:id="220" w:name="_Toc27389"/>
      <w:r>
        <w:rPr>
          <w:rFonts w:hint="eastAsia" w:ascii="Times New Roman" w:hAnsi="Times New Roman" w:eastAsia="仿宋_GB2312"/>
          <w:sz w:val="32"/>
          <w:szCs w:val="24"/>
          <w:lang w:val="zh-CN"/>
        </w:rPr>
        <w:t>（三）项目自评步骤及方法</w:t>
      </w:r>
      <w:bookmarkEnd w:id="219"/>
      <w:bookmarkEnd w:id="220"/>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由主管部门根据</w:t>
      </w:r>
      <w:r>
        <w:rPr>
          <w:rFonts w:hint="eastAsia" w:ascii="仿宋" w:hAnsi="仿宋" w:eastAsia="仿宋" w:cs="仿宋"/>
          <w:color w:val="auto"/>
          <w:sz w:val="32"/>
          <w:szCs w:val="32"/>
          <w:u w:val="none" w:color="FFFFFF"/>
          <w:shd w:val="clear" w:color="auto" w:fill="FFFFFF"/>
          <w:lang w:val="zh-CN" w:eastAsia="zh-CN"/>
        </w:rPr>
        <w:t>年度资金</w:t>
      </w:r>
      <w:r>
        <w:rPr>
          <w:rFonts w:hint="eastAsia" w:ascii="仿宋" w:hAnsi="仿宋" w:eastAsia="仿宋" w:cs="仿宋"/>
          <w:color w:val="auto"/>
          <w:sz w:val="32"/>
          <w:szCs w:val="32"/>
          <w:shd w:val="clear" w:color="auto" w:fill="FFFFFF"/>
          <w:lang w:val="zh-CN" w:eastAsia="zh-CN"/>
        </w:rPr>
        <w:t>实施情况和资金兑现情况进行自评，最后由财政所</w:t>
      </w:r>
      <w:r>
        <w:rPr>
          <w:rFonts w:hint="eastAsia" w:ascii="仿宋" w:hAnsi="仿宋" w:eastAsia="仿宋" w:cs="仿宋"/>
          <w:color w:val="auto"/>
          <w:sz w:val="32"/>
          <w:szCs w:val="32"/>
          <w:u w:val="none" w:color="FFFFFF"/>
          <w:shd w:val="clear" w:color="auto" w:fill="FFFFFF"/>
          <w:lang w:val="zh-CN" w:eastAsia="zh-CN"/>
        </w:rPr>
        <w:t>上报并</w:t>
      </w:r>
      <w:r>
        <w:rPr>
          <w:rFonts w:hint="eastAsia" w:ascii="仿宋" w:hAnsi="仿宋" w:eastAsia="仿宋" w:cs="仿宋"/>
          <w:color w:val="auto"/>
          <w:sz w:val="32"/>
          <w:szCs w:val="32"/>
          <w:shd w:val="clear" w:color="auto" w:fill="FFFFFF"/>
          <w:lang w:val="zh-CN" w:eastAsia="zh-CN"/>
        </w:rPr>
        <w:t>公开。</w:t>
      </w:r>
    </w:p>
    <w:p>
      <w:pPr>
        <w:spacing w:line="560" w:lineRule="exact"/>
        <w:ind w:firstLine="640" w:firstLineChars="200"/>
        <w:rPr>
          <w:rFonts w:hint="eastAsia" w:ascii="Times New Roman" w:hAnsi="Times New Roman" w:eastAsia="楷体"/>
          <w:sz w:val="32"/>
          <w:szCs w:val="24"/>
        </w:rPr>
      </w:pPr>
      <w:bookmarkStart w:id="221" w:name="_Toc4591"/>
      <w:bookmarkStart w:id="222" w:name="_Toc364"/>
      <w:bookmarkStart w:id="223" w:name="_Toc475"/>
      <w:r>
        <w:rPr>
          <w:rFonts w:hint="eastAsia" w:ascii="Times New Roman" w:hAnsi="Times New Roman" w:eastAsia="楷体"/>
          <w:sz w:val="32"/>
          <w:szCs w:val="24"/>
        </w:rPr>
        <w:t>二、项目资金申报及使用情况</w:t>
      </w:r>
      <w:bookmarkEnd w:id="221"/>
      <w:bookmarkEnd w:id="222"/>
      <w:bookmarkEnd w:id="223"/>
    </w:p>
    <w:p>
      <w:pPr>
        <w:spacing w:line="560" w:lineRule="exact"/>
        <w:ind w:firstLine="640" w:firstLineChars="200"/>
        <w:rPr>
          <w:rFonts w:hint="eastAsia" w:ascii="Times New Roman" w:hAnsi="Times New Roman" w:eastAsia="仿宋_GB2312"/>
          <w:sz w:val="32"/>
          <w:szCs w:val="24"/>
          <w:lang w:val="zh-CN"/>
        </w:rPr>
      </w:pPr>
      <w:bookmarkStart w:id="224" w:name="_Toc23709"/>
      <w:bookmarkStart w:id="225" w:name="_Toc30916"/>
      <w:r>
        <w:rPr>
          <w:rFonts w:hint="eastAsia" w:ascii="Times New Roman" w:hAnsi="Times New Roman" w:eastAsia="仿宋_GB2312"/>
          <w:sz w:val="32"/>
          <w:szCs w:val="24"/>
          <w:lang w:val="zh-CN"/>
        </w:rPr>
        <w:t>（一）项目资金申报及批复情况</w:t>
      </w:r>
      <w:bookmarkEnd w:id="224"/>
      <w:bookmarkEnd w:id="225"/>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项目资金按照计划申报、批复，无预算调整情况。</w:t>
      </w:r>
    </w:p>
    <w:p>
      <w:pPr>
        <w:spacing w:line="560" w:lineRule="exact"/>
        <w:ind w:firstLine="640" w:firstLineChars="200"/>
        <w:rPr>
          <w:rFonts w:hint="eastAsia" w:ascii="Times New Roman" w:hAnsi="Times New Roman" w:eastAsia="仿宋_GB2312"/>
          <w:sz w:val="32"/>
          <w:szCs w:val="24"/>
          <w:lang w:val="zh-CN"/>
        </w:rPr>
      </w:pPr>
      <w:bookmarkStart w:id="226" w:name="_Toc1112"/>
      <w:bookmarkStart w:id="227" w:name="_Toc10743"/>
      <w:r>
        <w:rPr>
          <w:rFonts w:hint="eastAsia" w:ascii="Times New Roman" w:hAnsi="Times New Roman" w:eastAsia="仿宋_GB2312"/>
          <w:sz w:val="32"/>
          <w:szCs w:val="24"/>
          <w:u w:val="none" w:color="FFFFFF"/>
          <w:shd w:val="clear" w:fill="FFFFFF"/>
          <w:lang w:val="zh-CN"/>
        </w:rPr>
        <w:t>（二）资金计划、到位及使用情况</w:t>
      </w:r>
      <w:bookmarkEnd w:id="226"/>
      <w:bookmarkEnd w:id="227"/>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1．资金计划。202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u w:val="none" w:color="FFFFFF"/>
          <w:shd w:val="clear" w:color="auto" w:fill="FFFFFF"/>
          <w:lang w:val="zh-CN" w:eastAsia="zh-CN"/>
        </w:rPr>
        <w:t>年</w:t>
      </w:r>
      <w:r>
        <w:rPr>
          <w:rFonts w:hint="eastAsia" w:ascii="仿宋" w:hAnsi="仿宋" w:eastAsia="仿宋" w:cs="仿宋"/>
          <w:color w:val="auto"/>
          <w:sz w:val="32"/>
          <w:szCs w:val="32"/>
          <w:shd w:val="clear" w:color="auto" w:fill="FFFFFF"/>
          <w:lang w:val="zh-CN" w:eastAsia="zh-CN"/>
        </w:rPr>
        <w:t>我镇砥坝村产业园建设资金共计</w:t>
      </w:r>
      <w:r>
        <w:rPr>
          <w:rFonts w:hint="eastAsia" w:ascii="仿宋" w:hAnsi="仿宋" w:eastAsia="仿宋" w:cs="仿宋"/>
          <w:color w:val="auto"/>
          <w:sz w:val="32"/>
          <w:szCs w:val="32"/>
          <w:shd w:val="clear" w:color="auto" w:fill="FFFFFF"/>
          <w:lang w:val="en-US" w:eastAsia="zh-CN"/>
        </w:rPr>
        <w:t>30</w:t>
      </w:r>
      <w:r>
        <w:rPr>
          <w:rFonts w:hint="eastAsia" w:ascii="仿宋" w:hAnsi="仿宋" w:eastAsia="仿宋" w:cs="仿宋"/>
          <w:color w:val="auto"/>
          <w:sz w:val="32"/>
          <w:szCs w:val="32"/>
          <w:shd w:val="clear" w:color="auto" w:fill="FFFFFF"/>
          <w:lang w:val="zh-CN" w:eastAsia="zh-CN"/>
        </w:rPr>
        <w:t>万元。</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2．资金到位。</w:t>
      </w:r>
      <w:r>
        <w:rPr>
          <w:rFonts w:hint="eastAsia" w:ascii="仿宋" w:hAnsi="仿宋" w:eastAsia="仿宋" w:cs="仿宋"/>
          <w:color w:val="auto"/>
          <w:sz w:val="32"/>
          <w:szCs w:val="32"/>
          <w:u w:val="none" w:color="FFFFFF"/>
          <w:shd w:val="clear" w:color="auto" w:fill="FFFFFF"/>
          <w:lang w:val="zh-CN" w:eastAsia="zh-CN"/>
        </w:rPr>
        <w:t>截至</w:t>
      </w:r>
      <w:r>
        <w:rPr>
          <w:rFonts w:hint="eastAsia" w:ascii="仿宋" w:hAnsi="仿宋" w:eastAsia="仿宋" w:cs="仿宋"/>
          <w:color w:val="auto"/>
          <w:sz w:val="32"/>
          <w:szCs w:val="32"/>
          <w:u w:val="none" w:color="FFFFFF"/>
          <w:shd w:val="clear" w:color="auto" w:fill="FFFFFF"/>
          <w:lang w:val="zh-CN" w:eastAsia="zh-CN"/>
        </w:rPr>
        <w:t>评价时</w:t>
      </w:r>
      <w:r>
        <w:rPr>
          <w:rFonts w:hint="eastAsia" w:ascii="仿宋" w:hAnsi="仿宋" w:eastAsia="仿宋" w:cs="仿宋"/>
          <w:color w:val="auto"/>
          <w:sz w:val="32"/>
          <w:szCs w:val="32"/>
          <w:u w:val="none" w:color="FFFFFF"/>
          <w:shd w:val="clear" w:color="auto" w:fill="FFFFFF"/>
          <w:lang w:val="zh-CN" w:eastAsia="zh-CN"/>
        </w:rPr>
        <w:t>点</w:t>
      </w:r>
      <w:r>
        <w:rPr>
          <w:rFonts w:hint="eastAsia" w:ascii="仿宋" w:hAnsi="仿宋" w:eastAsia="仿宋" w:cs="仿宋"/>
          <w:color w:val="auto"/>
          <w:sz w:val="32"/>
          <w:szCs w:val="32"/>
          <w:u w:val="none" w:color="FFFFFF"/>
          <w:shd w:val="clear" w:color="auto" w:fill="FFFFFF"/>
          <w:lang w:val="zh-CN" w:eastAsia="zh-CN"/>
        </w:rPr>
        <w:t>我镇砥坝村产业园建设</w:t>
      </w:r>
      <w:r>
        <w:rPr>
          <w:rFonts w:hint="eastAsia" w:ascii="仿宋" w:hAnsi="仿宋" w:eastAsia="仿宋" w:cs="仿宋"/>
          <w:color w:val="auto"/>
          <w:sz w:val="32"/>
          <w:szCs w:val="32"/>
          <w:u w:val="none" w:color="FFFFFF"/>
          <w:shd w:val="clear" w:color="auto" w:fill="FFFFFF"/>
          <w:lang w:val="en-US" w:eastAsia="zh-CN"/>
        </w:rPr>
        <w:t>资金</w:t>
      </w:r>
      <w:r>
        <w:rPr>
          <w:rFonts w:hint="eastAsia" w:ascii="仿宋" w:hAnsi="仿宋" w:eastAsia="仿宋" w:cs="仿宋"/>
          <w:color w:val="auto"/>
          <w:sz w:val="32"/>
          <w:szCs w:val="32"/>
          <w:u w:val="none" w:color="FFFFFF"/>
          <w:shd w:val="clear" w:color="auto" w:fill="FFFFFF"/>
          <w:lang w:val="zh-CN" w:eastAsia="zh-CN"/>
        </w:rPr>
        <w:t>到位</w:t>
      </w:r>
      <w:r>
        <w:rPr>
          <w:rFonts w:hint="eastAsia" w:ascii="仿宋" w:hAnsi="仿宋" w:eastAsia="仿宋" w:cs="仿宋"/>
          <w:color w:val="auto"/>
          <w:sz w:val="32"/>
          <w:szCs w:val="32"/>
          <w:u w:val="none" w:color="FFFFFF"/>
          <w:shd w:val="clear" w:color="auto" w:fill="FFFFFF"/>
          <w:lang w:val="en-US" w:eastAsia="zh-CN"/>
        </w:rPr>
        <w:t>30</w:t>
      </w:r>
      <w:r>
        <w:rPr>
          <w:rFonts w:hint="eastAsia" w:ascii="仿宋" w:hAnsi="仿宋" w:eastAsia="仿宋" w:cs="仿宋"/>
          <w:color w:val="auto"/>
          <w:sz w:val="32"/>
          <w:szCs w:val="32"/>
          <w:u w:val="none" w:color="FFFFFF"/>
          <w:shd w:val="clear" w:color="auto" w:fill="FFFFFF"/>
          <w:lang w:val="zh-CN" w:eastAsia="zh-CN"/>
        </w:rPr>
        <w:t>万元，资金到位率</w:t>
      </w:r>
      <w:r>
        <w:rPr>
          <w:rFonts w:hint="eastAsia" w:ascii="仿宋" w:hAnsi="仿宋" w:eastAsia="仿宋" w:cs="仿宋"/>
          <w:color w:val="auto"/>
          <w:sz w:val="32"/>
          <w:szCs w:val="32"/>
          <w:u w:val="none" w:color="FFFFFF"/>
          <w:shd w:val="clear" w:color="auto" w:fill="FFFFFF"/>
          <w:lang w:val="en-US" w:eastAsia="zh-CN"/>
        </w:rPr>
        <w:t>100%</w:t>
      </w:r>
      <w:r>
        <w:rPr>
          <w:rFonts w:hint="eastAsia" w:ascii="仿宋" w:hAnsi="仿宋" w:eastAsia="仿宋" w:cs="仿宋"/>
          <w:color w:val="auto"/>
          <w:sz w:val="32"/>
          <w:szCs w:val="32"/>
          <w:u w:val="none" w:color="FFFFFF"/>
          <w:shd w:val="clear" w:color="auto" w:fill="FFFFFF"/>
          <w:lang w:val="zh-CN" w:eastAsia="zh-CN"/>
        </w:rPr>
        <w:t>。</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3．资金使用。</w:t>
      </w:r>
      <w:r>
        <w:rPr>
          <w:rFonts w:hint="eastAsia" w:ascii="仿宋" w:hAnsi="仿宋" w:eastAsia="仿宋" w:cs="仿宋"/>
          <w:color w:val="auto"/>
          <w:sz w:val="32"/>
          <w:szCs w:val="32"/>
          <w:u w:val="none" w:color="FFFFFF"/>
          <w:shd w:val="clear" w:color="auto" w:fill="FFFFFF"/>
          <w:lang w:val="zh-CN" w:eastAsia="zh-CN"/>
        </w:rPr>
        <w:t>截至</w:t>
      </w:r>
      <w:r>
        <w:rPr>
          <w:rFonts w:hint="eastAsia" w:ascii="仿宋" w:hAnsi="仿宋" w:eastAsia="仿宋" w:cs="仿宋"/>
          <w:color w:val="auto"/>
          <w:sz w:val="32"/>
          <w:szCs w:val="32"/>
          <w:u w:val="none" w:color="FFFFFF"/>
          <w:shd w:val="clear" w:color="auto" w:fill="FFFFFF"/>
          <w:lang w:val="zh-CN" w:eastAsia="zh-CN"/>
        </w:rPr>
        <w:t>评价时点我镇砥坝村产业园建设</w:t>
      </w:r>
      <w:r>
        <w:rPr>
          <w:rFonts w:hint="eastAsia" w:ascii="仿宋" w:hAnsi="仿宋" w:eastAsia="仿宋" w:cs="仿宋"/>
          <w:color w:val="auto"/>
          <w:sz w:val="32"/>
          <w:szCs w:val="32"/>
          <w:u w:val="none" w:color="FFFFFF"/>
          <w:shd w:val="clear" w:color="auto" w:fill="FFFFFF"/>
          <w:lang w:val="en-US" w:eastAsia="zh-CN"/>
        </w:rPr>
        <w:t>资金</w:t>
      </w:r>
      <w:r>
        <w:rPr>
          <w:rFonts w:hint="eastAsia" w:ascii="仿宋" w:hAnsi="仿宋" w:eastAsia="仿宋" w:cs="仿宋"/>
          <w:color w:val="auto"/>
          <w:sz w:val="32"/>
          <w:szCs w:val="32"/>
          <w:u w:val="none" w:color="FFFFFF"/>
          <w:shd w:val="clear" w:color="auto" w:fill="FFFFFF"/>
          <w:lang w:val="zh-CN" w:eastAsia="zh-CN"/>
        </w:rPr>
        <w:t>到位</w:t>
      </w:r>
      <w:r>
        <w:rPr>
          <w:rFonts w:hint="eastAsia" w:ascii="仿宋" w:hAnsi="仿宋" w:eastAsia="仿宋" w:cs="仿宋"/>
          <w:color w:val="auto"/>
          <w:sz w:val="32"/>
          <w:szCs w:val="32"/>
          <w:u w:val="none" w:color="FFFFFF"/>
          <w:shd w:val="clear" w:color="auto" w:fill="FFFFFF"/>
          <w:lang w:val="en-US" w:eastAsia="zh-CN"/>
        </w:rPr>
        <w:t>30</w:t>
      </w:r>
      <w:r>
        <w:rPr>
          <w:rFonts w:hint="eastAsia" w:ascii="仿宋" w:hAnsi="仿宋" w:eastAsia="仿宋" w:cs="仿宋"/>
          <w:color w:val="auto"/>
          <w:sz w:val="32"/>
          <w:szCs w:val="32"/>
          <w:u w:val="none" w:color="FFFFFF"/>
          <w:shd w:val="clear" w:color="auto" w:fill="FFFFFF"/>
          <w:lang w:val="zh-CN" w:eastAsia="zh-CN"/>
        </w:rPr>
        <w:t>万元，资金到位率</w:t>
      </w:r>
      <w:r>
        <w:rPr>
          <w:rFonts w:hint="eastAsia" w:ascii="仿宋" w:hAnsi="仿宋" w:eastAsia="仿宋" w:cs="仿宋"/>
          <w:color w:val="auto"/>
          <w:sz w:val="32"/>
          <w:szCs w:val="32"/>
          <w:u w:val="none" w:color="FFFFFF"/>
          <w:shd w:val="clear" w:color="auto" w:fill="FFFFFF"/>
          <w:lang w:val="en-US" w:eastAsia="zh-CN"/>
        </w:rPr>
        <w:t>100%</w:t>
      </w:r>
      <w:r>
        <w:rPr>
          <w:rFonts w:hint="eastAsia" w:ascii="仿宋" w:hAnsi="仿宋" w:eastAsia="仿宋" w:cs="仿宋"/>
          <w:color w:val="auto"/>
          <w:sz w:val="32"/>
          <w:szCs w:val="32"/>
          <w:u w:val="none" w:color="FFFFFF"/>
          <w:shd w:val="clear" w:color="auto" w:fill="FFFFFF"/>
          <w:lang w:val="zh-CN" w:eastAsia="zh-CN"/>
        </w:rPr>
        <w:t>。</w:t>
      </w:r>
      <w:r>
        <w:rPr>
          <w:rFonts w:hint="eastAsia" w:ascii="仿宋" w:hAnsi="仿宋" w:eastAsia="仿宋" w:cs="仿宋"/>
          <w:color w:val="auto"/>
          <w:sz w:val="32"/>
          <w:szCs w:val="32"/>
          <w:shd w:val="clear" w:color="auto" w:fill="FFFFFF"/>
          <w:lang w:val="zh-CN" w:eastAsia="zh-CN"/>
        </w:rPr>
        <w:t>资金使用安全、规范、有效，资金支付范围、支付标准、支付进度、支付</w:t>
      </w:r>
      <w:r>
        <w:rPr>
          <w:rFonts w:hint="eastAsia" w:ascii="仿宋" w:hAnsi="仿宋" w:eastAsia="仿宋" w:cs="仿宋"/>
          <w:color w:val="auto"/>
          <w:sz w:val="32"/>
          <w:szCs w:val="32"/>
          <w:u w:val="none" w:color="FFFFFF"/>
          <w:shd w:val="clear" w:color="auto" w:fill="FFFFFF"/>
          <w:lang w:val="zh-CN" w:eastAsia="zh-CN"/>
        </w:rPr>
        <w:t>依据等</w:t>
      </w:r>
      <w:r>
        <w:rPr>
          <w:rFonts w:hint="eastAsia" w:ascii="仿宋" w:hAnsi="仿宋" w:eastAsia="仿宋" w:cs="仿宋"/>
          <w:color w:val="auto"/>
          <w:sz w:val="32"/>
          <w:szCs w:val="32"/>
          <w:shd w:val="clear" w:color="auto" w:fill="FFFFFF"/>
          <w:lang w:val="zh-CN" w:eastAsia="zh-CN"/>
        </w:rPr>
        <w:t>合规合法、与预算相符。</w:t>
      </w:r>
    </w:p>
    <w:p>
      <w:pPr>
        <w:spacing w:line="560" w:lineRule="exact"/>
        <w:ind w:firstLine="640" w:firstLineChars="200"/>
        <w:rPr>
          <w:rFonts w:hint="eastAsia" w:ascii="Times New Roman" w:hAnsi="Times New Roman" w:eastAsia="仿宋_GB2312"/>
          <w:sz w:val="32"/>
          <w:szCs w:val="24"/>
          <w:lang w:val="zh-CN"/>
        </w:rPr>
      </w:pPr>
      <w:bookmarkStart w:id="228" w:name="_Toc13821"/>
      <w:bookmarkStart w:id="229" w:name="_Toc7219"/>
      <w:r>
        <w:rPr>
          <w:rFonts w:hint="eastAsia" w:ascii="Times New Roman" w:hAnsi="Times New Roman" w:eastAsia="仿宋_GB2312"/>
          <w:sz w:val="32"/>
          <w:szCs w:val="24"/>
          <w:lang w:val="zh-CN"/>
        </w:rPr>
        <w:t>（三）项目财务管理情况</w:t>
      </w:r>
      <w:bookmarkEnd w:id="228"/>
      <w:bookmarkEnd w:id="229"/>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资金纳入专项资金统一管理，制度健全，由相关部门审核，镇长审批，财政所负责处理账务，项目部门负责资料报送，严格执行财务管理制度，账务处理及时，会计核算规范。</w:t>
      </w:r>
    </w:p>
    <w:p>
      <w:pPr>
        <w:spacing w:line="560" w:lineRule="exact"/>
        <w:ind w:firstLine="640" w:firstLineChars="200"/>
        <w:rPr>
          <w:rFonts w:hint="eastAsia" w:ascii="Times New Roman" w:hAnsi="Times New Roman" w:eastAsia="楷体"/>
          <w:sz w:val="32"/>
          <w:szCs w:val="24"/>
        </w:rPr>
      </w:pPr>
      <w:bookmarkStart w:id="230" w:name="_Toc20938"/>
      <w:bookmarkStart w:id="231" w:name="_Toc20188"/>
      <w:bookmarkStart w:id="232" w:name="_Toc13961"/>
      <w:r>
        <w:rPr>
          <w:rFonts w:hint="eastAsia" w:ascii="Times New Roman" w:hAnsi="Times New Roman" w:eastAsia="楷体"/>
          <w:sz w:val="32"/>
          <w:szCs w:val="24"/>
        </w:rPr>
        <w:t>三、项目实施及管理情况</w:t>
      </w:r>
      <w:bookmarkEnd w:id="230"/>
      <w:bookmarkEnd w:id="231"/>
      <w:bookmarkEnd w:id="232"/>
    </w:p>
    <w:p>
      <w:pPr>
        <w:spacing w:line="560" w:lineRule="exact"/>
        <w:ind w:firstLine="640" w:firstLineChars="200"/>
        <w:rPr>
          <w:rFonts w:hint="eastAsia" w:ascii="Times New Roman" w:hAnsi="Times New Roman" w:eastAsia="仿宋_GB2312"/>
          <w:sz w:val="32"/>
          <w:szCs w:val="24"/>
          <w:lang w:val="zh-CN"/>
        </w:rPr>
      </w:pPr>
      <w:bookmarkStart w:id="233" w:name="_Toc19655"/>
      <w:bookmarkStart w:id="234" w:name="_Toc16856"/>
      <w:r>
        <w:rPr>
          <w:rFonts w:hint="eastAsia" w:ascii="Times New Roman" w:hAnsi="Times New Roman" w:eastAsia="仿宋_GB2312"/>
          <w:sz w:val="32"/>
          <w:szCs w:val="24"/>
          <w:lang w:val="zh-CN"/>
        </w:rPr>
        <w:t>（一）项目组织架构及实施流程</w:t>
      </w:r>
      <w:bookmarkEnd w:id="233"/>
      <w:bookmarkEnd w:id="234"/>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镇党委政府高度重视</w:t>
      </w:r>
      <w:r>
        <w:rPr>
          <w:rFonts w:hint="eastAsia" w:ascii="仿宋" w:hAnsi="仿宋" w:eastAsia="仿宋" w:cs="仿宋"/>
          <w:color w:val="auto"/>
          <w:sz w:val="32"/>
          <w:szCs w:val="32"/>
          <w:shd w:val="clear" w:color="auto" w:fill="FFFFFF"/>
          <w:lang w:val="en-US" w:eastAsia="zh-CN"/>
        </w:rPr>
        <w:t>项目资金</w:t>
      </w:r>
      <w:r>
        <w:rPr>
          <w:rFonts w:hint="eastAsia" w:ascii="仿宋" w:hAnsi="仿宋" w:eastAsia="仿宋" w:cs="仿宋"/>
          <w:color w:val="auto"/>
          <w:sz w:val="32"/>
          <w:szCs w:val="32"/>
          <w:shd w:val="clear" w:color="auto" w:fill="FFFFFF"/>
          <w:lang w:val="zh-CN" w:eastAsia="zh-CN"/>
        </w:rPr>
        <w:t>的绩效管理，成立了监督管理领导小组，统筹协调资金运用全过程。</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zh-CN" w:eastAsia="zh-CN"/>
        </w:rPr>
        <w:t>组  长：</w:t>
      </w:r>
      <w:r>
        <w:rPr>
          <w:rFonts w:hint="eastAsia" w:ascii="仿宋" w:hAnsi="仿宋" w:eastAsia="仿宋" w:cs="仿宋"/>
          <w:color w:val="auto"/>
          <w:sz w:val="32"/>
          <w:szCs w:val="32"/>
          <w:shd w:val="clear" w:color="auto" w:fill="FFFFFF"/>
          <w:lang w:val="en-US" w:eastAsia="zh-CN"/>
        </w:rPr>
        <w:t>岳荣甫     党委书记</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u w:val="none" w:color="FFFFFF"/>
          <w:shd w:val="clear" w:color="auto" w:fill="FFFFFF"/>
          <w:lang w:val="en-US" w:eastAsia="zh-CN"/>
        </w:rPr>
      </w:pP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u w:val="none" w:color="FFFFFF"/>
          <w:shd w:val="clear" w:color="auto" w:fill="FFFFFF"/>
          <w:lang w:val="en-US" w:eastAsia="zh-CN"/>
        </w:rPr>
        <w:t>屈  颖     镇长</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u w:val="none" w:color="FFFFFF"/>
          <w:shd w:val="clear" w:color="auto" w:fill="FFFFFF"/>
          <w:lang w:val="zh-CN" w:eastAsia="zh-CN"/>
        </w:rPr>
        <w:t>副组长：</w:t>
      </w:r>
      <w:r>
        <w:rPr>
          <w:rFonts w:hint="eastAsia" w:ascii="仿宋" w:hAnsi="仿宋" w:eastAsia="仿宋" w:cs="仿宋"/>
          <w:color w:val="auto"/>
          <w:sz w:val="32"/>
          <w:szCs w:val="32"/>
          <w:u w:val="none" w:color="FFFFFF"/>
          <w:shd w:val="clear" w:color="auto" w:fill="FFFFFF"/>
          <w:lang w:val="en-US" w:eastAsia="zh-CN"/>
        </w:rPr>
        <w:t>陈虹锦</w:t>
      </w:r>
      <w:r>
        <w:rPr>
          <w:rFonts w:hint="eastAsia" w:ascii="仿宋" w:hAnsi="仿宋" w:eastAsia="仿宋" w:cs="仿宋"/>
          <w:color w:val="auto"/>
          <w:sz w:val="32"/>
          <w:szCs w:val="32"/>
          <w:u w:val="none" w:color="FFFFFF"/>
          <w:shd w:val="clear" w:color="auto" w:fill="FFFFFF"/>
          <w:lang w:val="zh-CN" w:eastAsia="zh-CN"/>
        </w:rPr>
        <w:t xml:space="preserve">     纪委书记</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u w:val="none" w:color="FFFFFF"/>
          <w:shd w:val="clear" w:color="auto" w:fill="FFFFFF"/>
          <w:lang w:val="en-US" w:eastAsia="zh-CN"/>
        </w:rPr>
      </w:pP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u w:val="none" w:color="FFFFFF"/>
          <w:shd w:val="clear" w:color="auto" w:fill="FFFFFF"/>
          <w:lang w:val="en-US" w:eastAsia="zh-CN"/>
        </w:rPr>
        <w:t>侯中才     副镇长</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u w:val="none" w:color="FFFFFF"/>
          <w:shd w:val="clear" w:color="auto" w:fill="FFFFFF"/>
          <w:lang w:val="en-US" w:eastAsia="zh-CN"/>
        </w:rPr>
        <w:t>成  员：王国斌     财政所所长</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王敏生     乡村振兴办主任</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en-US" w:eastAsia="zh-CN"/>
        </w:rPr>
        <w:t xml:space="preserve">赵碧霖     财政所干部  </w:t>
      </w:r>
    </w:p>
    <w:p>
      <w:pPr>
        <w:numPr>
          <w:ilvl w:val="0"/>
          <w:numId w:val="0"/>
        </w:numPr>
        <w:spacing w:line="560" w:lineRule="exact"/>
        <w:ind w:firstLine="640" w:firstLineChars="200"/>
        <w:rPr>
          <w:rFonts w:hint="eastAsia" w:ascii="Times New Roman" w:hAnsi="Times New Roman" w:eastAsia="仿宋_GB2312"/>
          <w:sz w:val="32"/>
          <w:szCs w:val="24"/>
          <w:lang w:val="zh-CN"/>
        </w:rPr>
      </w:pPr>
      <w:bookmarkStart w:id="235" w:name="_Toc4809"/>
      <w:bookmarkStart w:id="236" w:name="_Toc31106"/>
      <w:r>
        <w:rPr>
          <w:rFonts w:hint="eastAsia" w:ascii="Times New Roman" w:hAnsi="Times New Roman" w:eastAsia="仿宋_GB2312"/>
          <w:sz w:val="32"/>
          <w:szCs w:val="24"/>
          <w:u w:val="none" w:color="auto"/>
          <w:lang w:val="zh-CN"/>
        </w:rPr>
        <w:t>（</w:t>
      </w:r>
      <w:r>
        <w:rPr>
          <w:rFonts w:hint="eastAsia" w:ascii="Times New Roman" w:hAnsi="Times New Roman" w:eastAsia="仿宋_GB2312"/>
          <w:sz w:val="32"/>
          <w:szCs w:val="24"/>
          <w:u w:val="none" w:color="auto"/>
          <w:lang w:val="zh-CN" w:eastAsia="zh-CN"/>
        </w:rPr>
        <w:t>二</w:t>
      </w:r>
      <w:r>
        <w:rPr>
          <w:rFonts w:hint="eastAsia" w:ascii="Times New Roman" w:hAnsi="Times New Roman" w:eastAsia="仿宋_GB2312"/>
          <w:sz w:val="32"/>
          <w:szCs w:val="24"/>
          <w:u w:val="none" w:color="auto"/>
          <w:lang w:val="zh-CN"/>
        </w:rPr>
        <w:t>）</w:t>
      </w:r>
      <w:r>
        <w:rPr>
          <w:rFonts w:hint="eastAsia" w:ascii="Times New Roman" w:hAnsi="Times New Roman" w:eastAsia="仿宋_GB2312"/>
          <w:sz w:val="32"/>
          <w:szCs w:val="24"/>
          <w:lang w:val="zh-CN"/>
        </w:rPr>
        <w:t>项目管理情况</w:t>
      </w:r>
      <w:bookmarkEnd w:id="235"/>
      <w:bookmarkEnd w:id="236"/>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所有开支均符合财务管理规定，资金</w:t>
      </w:r>
      <w:r>
        <w:rPr>
          <w:rFonts w:hint="eastAsia" w:ascii="仿宋" w:hAnsi="仿宋" w:eastAsia="仿宋" w:cs="仿宋"/>
          <w:color w:val="auto"/>
          <w:sz w:val="32"/>
          <w:szCs w:val="32"/>
          <w:u w:val="none" w:color="FFFFFF"/>
          <w:shd w:val="clear" w:color="auto" w:fill="FFFFFF"/>
          <w:lang w:val="zh-CN" w:eastAsia="zh-CN"/>
        </w:rPr>
        <w:t>运用的</w:t>
      </w:r>
      <w:r>
        <w:rPr>
          <w:rFonts w:hint="eastAsia" w:ascii="仿宋" w:hAnsi="仿宋" w:eastAsia="仿宋" w:cs="仿宋"/>
          <w:color w:val="auto"/>
          <w:sz w:val="32"/>
          <w:szCs w:val="32"/>
          <w:shd w:val="clear" w:color="auto" w:fill="FFFFFF"/>
          <w:lang w:val="zh-CN" w:eastAsia="zh-CN"/>
        </w:rPr>
        <w:t>内部控制制度严格管控，在执行计划过程中不存在违规违法的问题。</w:t>
      </w:r>
    </w:p>
    <w:p>
      <w:pPr>
        <w:spacing w:line="560" w:lineRule="exact"/>
        <w:ind w:firstLine="640" w:firstLineChars="200"/>
        <w:rPr>
          <w:rFonts w:hint="eastAsia" w:ascii="Times New Roman" w:hAnsi="Times New Roman" w:eastAsia="仿宋_GB2312"/>
          <w:sz w:val="32"/>
          <w:szCs w:val="24"/>
          <w:lang w:val="zh-CN"/>
        </w:rPr>
      </w:pPr>
      <w:bookmarkStart w:id="237" w:name="_Toc14904"/>
      <w:bookmarkStart w:id="238" w:name="_Toc1887"/>
      <w:r>
        <w:rPr>
          <w:rFonts w:hint="eastAsia" w:ascii="Times New Roman" w:hAnsi="Times New Roman" w:eastAsia="仿宋_GB2312"/>
          <w:sz w:val="32"/>
          <w:szCs w:val="24"/>
          <w:lang w:val="zh-CN"/>
        </w:rPr>
        <w:t>（三）项目监管情况</w:t>
      </w:r>
      <w:bookmarkEnd w:id="237"/>
      <w:bookmarkEnd w:id="238"/>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成立了专门的领导小组，从微观上进行了资金管控；制定了相关内部控制制度，从制度上规范了资金运用；建立了监督检查机制，从纪律上加强了资金约束。</w:t>
      </w:r>
    </w:p>
    <w:p>
      <w:pPr>
        <w:spacing w:line="560" w:lineRule="exact"/>
        <w:ind w:firstLine="640" w:firstLineChars="200"/>
        <w:rPr>
          <w:rFonts w:hint="eastAsia" w:ascii="Times New Roman" w:hAnsi="Times New Roman" w:eastAsia="楷体"/>
          <w:sz w:val="32"/>
          <w:szCs w:val="24"/>
          <w:lang w:val="zh-CN"/>
        </w:rPr>
      </w:pPr>
      <w:bookmarkStart w:id="239" w:name="_Toc14924"/>
      <w:bookmarkStart w:id="240" w:name="_Toc13266"/>
      <w:bookmarkStart w:id="241" w:name="_Toc27992"/>
      <w:r>
        <w:rPr>
          <w:rFonts w:hint="eastAsia" w:ascii="Times New Roman" w:hAnsi="Times New Roman" w:eastAsia="楷体"/>
          <w:sz w:val="32"/>
          <w:szCs w:val="24"/>
        </w:rPr>
        <w:t>四、项目绩效情况</w:t>
      </w:r>
      <w:bookmarkEnd w:id="239"/>
      <w:bookmarkEnd w:id="240"/>
      <w:bookmarkEnd w:id="241"/>
      <w:r>
        <w:rPr>
          <w:rFonts w:hint="eastAsia" w:ascii="Times New Roman" w:hAnsi="Times New Roman" w:eastAsia="楷体"/>
          <w:sz w:val="32"/>
          <w:szCs w:val="24"/>
          <w:lang w:val="zh-CN"/>
        </w:rPr>
        <w:tab/>
      </w:r>
    </w:p>
    <w:p>
      <w:pPr>
        <w:spacing w:line="560" w:lineRule="exact"/>
        <w:ind w:firstLine="640" w:firstLineChars="200"/>
        <w:rPr>
          <w:rFonts w:hint="eastAsia" w:ascii="Times New Roman" w:hAnsi="Times New Roman" w:eastAsia="仿宋_GB2312"/>
          <w:sz w:val="32"/>
          <w:szCs w:val="24"/>
          <w:lang w:val="zh-CN"/>
        </w:rPr>
      </w:pPr>
      <w:bookmarkStart w:id="242" w:name="_Toc12061"/>
      <w:bookmarkStart w:id="243" w:name="_Toc489"/>
      <w:r>
        <w:rPr>
          <w:rFonts w:hint="eastAsia" w:ascii="Times New Roman" w:hAnsi="Times New Roman" w:eastAsia="仿宋_GB2312"/>
          <w:sz w:val="32"/>
          <w:szCs w:val="24"/>
          <w:lang w:val="zh-CN"/>
        </w:rPr>
        <w:t>（一）项目完成情况</w:t>
      </w:r>
      <w:bookmarkEnd w:id="242"/>
      <w:bookmarkEnd w:id="243"/>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val="zh-CN" w:eastAsia="zh-CN"/>
        </w:rPr>
        <w:t>年砥坝村产业园建设</w:t>
      </w:r>
      <w:r>
        <w:rPr>
          <w:rFonts w:hint="eastAsia" w:ascii="仿宋" w:hAnsi="仿宋" w:eastAsia="仿宋" w:cs="仿宋"/>
          <w:color w:val="auto"/>
          <w:sz w:val="32"/>
          <w:szCs w:val="32"/>
          <w:shd w:val="clear" w:color="auto" w:fill="FFFFFF"/>
          <w:lang w:val="en-US" w:eastAsia="zh-CN"/>
        </w:rPr>
        <w:t>资金共计30</w:t>
      </w:r>
      <w:r>
        <w:rPr>
          <w:rFonts w:hint="eastAsia" w:ascii="仿宋" w:hAnsi="仿宋" w:eastAsia="仿宋" w:cs="仿宋"/>
          <w:color w:val="auto"/>
          <w:sz w:val="32"/>
          <w:szCs w:val="32"/>
          <w:shd w:val="clear" w:color="auto" w:fill="FFFFFF"/>
          <w:lang w:val="zh-CN" w:eastAsia="zh-CN"/>
        </w:rPr>
        <w:t>万元，均按202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val="zh-CN" w:eastAsia="zh-CN"/>
        </w:rPr>
        <w:t>年初计划实施，并于202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val="zh-CN" w:eastAsia="zh-CN"/>
        </w:rPr>
        <w:t>年</w:t>
      </w:r>
      <w:r>
        <w:rPr>
          <w:rFonts w:hint="eastAsia" w:ascii="仿宋" w:hAnsi="仿宋" w:eastAsia="仿宋" w:cs="仿宋"/>
          <w:color w:val="auto"/>
          <w:sz w:val="32"/>
          <w:szCs w:val="32"/>
          <w:shd w:val="clear" w:color="auto" w:fill="FFFFFF"/>
          <w:lang w:val="en-US" w:eastAsia="zh-CN"/>
        </w:rPr>
        <w:t>12月底前</w:t>
      </w:r>
      <w:r>
        <w:rPr>
          <w:rFonts w:hint="eastAsia" w:ascii="仿宋" w:hAnsi="仿宋" w:eastAsia="仿宋" w:cs="仿宋"/>
          <w:color w:val="auto"/>
          <w:sz w:val="32"/>
          <w:szCs w:val="32"/>
          <w:shd w:val="clear" w:color="auto" w:fill="FFFFFF"/>
          <w:lang w:val="zh-CN" w:eastAsia="zh-CN"/>
        </w:rPr>
        <w:t>完成年度绩效目标。项目的开展主要根据镇党委、政府的安排，绩效总目标和阶段性目标按计划完成。</w:t>
      </w:r>
    </w:p>
    <w:p>
      <w:pPr>
        <w:spacing w:line="560" w:lineRule="exact"/>
        <w:ind w:firstLine="640" w:firstLineChars="200"/>
        <w:rPr>
          <w:rFonts w:hint="eastAsia" w:ascii="Times New Roman" w:hAnsi="Times New Roman" w:eastAsia="仿宋_GB2312"/>
          <w:sz w:val="32"/>
          <w:szCs w:val="24"/>
          <w:lang w:val="zh-CN"/>
        </w:rPr>
      </w:pPr>
      <w:bookmarkStart w:id="244" w:name="_Toc26652"/>
      <w:bookmarkStart w:id="245" w:name="_Toc4629"/>
      <w:r>
        <w:rPr>
          <w:rFonts w:hint="eastAsia" w:ascii="Times New Roman" w:hAnsi="Times New Roman" w:eastAsia="仿宋_GB2312"/>
          <w:sz w:val="32"/>
          <w:szCs w:val="24"/>
          <w:lang w:val="zh-CN"/>
        </w:rPr>
        <w:t>（二）项目效益情况</w:t>
      </w:r>
      <w:bookmarkEnd w:id="244"/>
      <w:bookmarkEnd w:id="245"/>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val="zh-CN" w:eastAsia="zh-CN"/>
        </w:rPr>
        <w:t>年砥坝村产业园建设</w:t>
      </w:r>
      <w:r>
        <w:rPr>
          <w:rFonts w:hint="eastAsia" w:ascii="仿宋" w:hAnsi="仿宋" w:eastAsia="仿宋" w:cs="仿宋"/>
          <w:color w:val="auto"/>
          <w:sz w:val="32"/>
          <w:szCs w:val="32"/>
          <w:shd w:val="clear" w:color="auto" w:fill="FFFFFF"/>
          <w:lang w:val="en-US" w:eastAsia="zh-CN"/>
        </w:rPr>
        <w:t>资金</w:t>
      </w:r>
      <w:r>
        <w:rPr>
          <w:rFonts w:hint="eastAsia" w:ascii="仿宋" w:hAnsi="仿宋" w:eastAsia="仿宋" w:cs="仿宋"/>
          <w:color w:val="auto"/>
          <w:sz w:val="32"/>
          <w:szCs w:val="32"/>
          <w:shd w:val="clear" w:color="auto" w:fill="FFFFFF"/>
          <w:lang w:val="zh-CN" w:eastAsia="zh-CN"/>
        </w:rPr>
        <w:t>，年初计划依据充分、制定科学、目标明确，该项目实施进一步壮大了村集体经济产业，从经济、社会、可持续效益及服务对象满意度方面实现了预定的绩效</w:t>
      </w:r>
      <w:r>
        <w:rPr>
          <w:rFonts w:hint="eastAsia" w:ascii="仿宋" w:hAnsi="仿宋" w:eastAsia="仿宋" w:cs="仿宋"/>
          <w:color w:val="auto"/>
          <w:sz w:val="32"/>
          <w:szCs w:val="32"/>
          <w:u w:val="none" w:color="FFFFFF"/>
          <w:shd w:val="clear" w:color="auto" w:fill="FFFFFF"/>
          <w:lang w:val="zh-CN" w:eastAsia="zh-CN"/>
        </w:rPr>
        <w:t>目标并</w:t>
      </w:r>
      <w:r>
        <w:rPr>
          <w:rFonts w:hint="eastAsia" w:ascii="仿宋" w:hAnsi="仿宋" w:eastAsia="仿宋" w:cs="仿宋"/>
          <w:color w:val="auto"/>
          <w:sz w:val="32"/>
          <w:szCs w:val="32"/>
          <w:shd w:val="clear" w:color="auto" w:fill="FFFFFF"/>
          <w:lang w:val="zh-CN" w:eastAsia="zh-CN"/>
        </w:rPr>
        <w:t>符合预期质量要求。</w:t>
      </w:r>
    </w:p>
    <w:p>
      <w:pPr>
        <w:spacing w:line="560" w:lineRule="exact"/>
        <w:ind w:firstLine="640" w:firstLineChars="200"/>
        <w:rPr>
          <w:rFonts w:hint="eastAsia" w:ascii="Times New Roman" w:hAnsi="Times New Roman" w:eastAsia="楷体"/>
          <w:sz w:val="32"/>
          <w:szCs w:val="24"/>
        </w:rPr>
      </w:pPr>
      <w:bookmarkStart w:id="246" w:name="_Toc9171"/>
      <w:bookmarkStart w:id="247" w:name="_Toc20326"/>
      <w:r>
        <w:rPr>
          <w:rFonts w:hint="eastAsia" w:ascii="Times New Roman" w:hAnsi="Times New Roman" w:eastAsia="楷体"/>
          <w:sz w:val="32"/>
          <w:szCs w:val="24"/>
        </w:rPr>
        <w:t>五、评价结论及建议</w:t>
      </w:r>
      <w:bookmarkEnd w:id="246"/>
      <w:bookmarkEnd w:id="247"/>
    </w:p>
    <w:p>
      <w:pPr>
        <w:spacing w:line="560" w:lineRule="exact"/>
        <w:ind w:firstLine="640" w:firstLineChars="200"/>
        <w:rPr>
          <w:rFonts w:hint="eastAsia" w:ascii="Times New Roman" w:hAnsi="Times New Roman" w:eastAsia="仿宋_GB2312"/>
          <w:sz w:val="32"/>
          <w:szCs w:val="24"/>
          <w:lang w:val="zh-CN"/>
        </w:rPr>
      </w:pPr>
      <w:bookmarkStart w:id="248" w:name="_Toc26785"/>
      <w:bookmarkStart w:id="249" w:name="_Toc30062"/>
      <w:r>
        <w:rPr>
          <w:rFonts w:hint="eastAsia" w:ascii="Times New Roman" w:hAnsi="Times New Roman" w:eastAsia="仿宋_GB2312"/>
          <w:sz w:val="32"/>
          <w:szCs w:val="24"/>
          <w:lang w:val="zh-CN"/>
        </w:rPr>
        <w:t>（一）评价结论</w:t>
      </w:r>
      <w:bookmarkEnd w:id="248"/>
      <w:bookmarkEnd w:id="249"/>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zh-CN" w:eastAsia="zh-CN"/>
        </w:rPr>
        <w:t>砥坝村产业园建设</w:t>
      </w:r>
      <w:r>
        <w:rPr>
          <w:rFonts w:hint="eastAsia" w:ascii="仿宋" w:hAnsi="仿宋" w:eastAsia="仿宋" w:cs="仿宋"/>
          <w:color w:val="auto"/>
          <w:sz w:val="32"/>
          <w:szCs w:val="32"/>
          <w:shd w:val="clear" w:color="auto" w:fill="FFFFFF"/>
          <w:lang w:val="en-US" w:eastAsia="zh-CN"/>
        </w:rPr>
        <w:t>资金</w:t>
      </w:r>
      <w:r>
        <w:rPr>
          <w:rFonts w:hint="eastAsia" w:ascii="仿宋" w:hAnsi="仿宋" w:eastAsia="仿宋" w:cs="仿宋"/>
          <w:color w:val="auto"/>
          <w:sz w:val="32"/>
          <w:szCs w:val="32"/>
          <w:shd w:val="clear" w:color="auto" w:fill="FFFFFF"/>
          <w:lang w:val="zh-CN" w:eastAsia="zh-CN"/>
        </w:rPr>
        <w:t>绩效评价结果：项目决策总分</w:t>
      </w:r>
      <w:r>
        <w:rPr>
          <w:rFonts w:hint="eastAsia" w:ascii="仿宋" w:hAnsi="仿宋" w:eastAsia="仿宋" w:cs="仿宋"/>
          <w:color w:val="auto"/>
          <w:sz w:val="32"/>
          <w:szCs w:val="32"/>
          <w:shd w:val="clear" w:color="auto" w:fill="FFFFFF"/>
          <w:lang w:val="en-US" w:eastAsia="zh-CN"/>
        </w:rPr>
        <w:t>8分，得分8分；项目实施总分9分，得分9分；完成结果总分23分，得分23分；项目结果总分20分，得分20分；经济效益总分20分，得分18分；社会效益</w:t>
      </w:r>
      <w:r>
        <w:rPr>
          <w:rFonts w:hint="eastAsia" w:ascii="仿宋" w:hAnsi="仿宋" w:eastAsia="仿宋" w:cs="仿宋"/>
          <w:color w:val="auto"/>
          <w:sz w:val="32"/>
          <w:szCs w:val="32"/>
          <w:u w:val="thick" w:color="98967F"/>
          <w:shd w:val="clear" w:color="auto" w:fill="FFFFFF"/>
          <w:lang w:val="en-US" w:eastAsia="zh-CN"/>
        </w:rPr>
        <w:t>总分10分，得分10分</w:t>
      </w:r>
      <w:r>
        <w:rPr>
          <w:rFonts w:hint="eastAsia" w:ascii="仿宋" w:hAnsi="仿宋" w:eastAsia="仿宋" w:cs="仿宋"/>
          <w:color w:val="auto"/>
          <w:sz w:val="32"/>
          <w:szCs w:val="32"/>
          <w:shd w:val="clear" w:color="auto" w:fill="FFFFFF"/>
          <w:lang w:val="en-US" w:eastAsia="zh-CN"/>
        </w:rPr>
        <w:t>；个性指标</w:t>
      </w:r>
      <w:r>
        <w:rPr>
          <w:rFonts w:hint="eastAsia" w:ascii="仿宋" w:hAnsi="仿宋" w:eastAsia="仿宋" w:cs="仿宋"/>
          <w:color w:val="auto"/>
          <w:sz w:val="32"/>
          <w:szCs w:val="32"/>
          <w:u w:val="thick" w:color="98967F"/>
          <w:shd w:val="clear" w:color="auto" w:fill="FFFFFF"/>
          <w:lang w:val="en-US" w:eastAsia="zh-CN"/>
        </w:rPr>
        <w:t>总分10分，得分10分</w:t>
      </w:r>
      <w:r>
        <w:rPr>
          <w:rFonts w:hint="eastAsia" w:ascii="仿宋" w:hAnsi="仿宋" w:eastAsia="仿宋" w:cs="仿宋"/>
          <w:color w:val="auto"/>
          <w:sz w:val="32"/>
          <w:szCs w:val="32"/>
          <w:shd w:val="clear" w:color="auto" w:fill="FFFFFF"/>
          <w:lang w:val="en-US" w:eastAsia="zh-CN"/>
        </w:rPr>
        <w:t>，总分98分，评价结果为“优”。</w:t>
      </w:r>
    </w:p>
    <w:p>
      <w:pPr>
        <w:spacing w:line="560" w:lineRule="exact"/>
        <w:ind w:firstLine="640" w:firstLineChars="200"/>
        <w:rPr>
          <w:rFonts w:hint="eastAsia" w:ascii="Times New Roman" w:hAnsi="Times New Roman" w:eastAsia="仿宋_GB2312"/>
          <w:sz w:val="32"/>
          <w:szCs w:val="24"/>
          <w:lang w:val="zh-CN"/>
        </w:rPr>
      </w:pPr>
      <w:bookmarkStart w:id="250" w:name="_Toc14400"/>
      <w:bookmarkStart w:id="251" w:name="_Toc17230"/>
      <w:r>
        <w:rPr>
          <w:rFonts w:hint="eastAsia" w:ascii="Times New Roman" w:hAnsi="Times New Roman" w:eastAsia="仿宋_GB2312"/>
          <w:sz w:val="32"/>
          <w:szCs w:val="24"/>
          <w:lang w:val="zh-CN"/>
        </w:rPr>
        <w:t>（二）存在的问题</w:t>
      </w:r>
      <w:bookmarkEnd w:id="250"/>
      <w:bookmarkEnd w:id="251"/>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一是项目管理有待进一步加强，避免产业发展缺乏有效规划；</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u w:val="none" w:color="FFFFFF"/>
          <w:shd w:val="clear" w:color="auto" w:fill="FFFFFF"/>
          <w:lang w:val="en-US" w:eastAsia="zh-CN"/>
        </w:rPr>
        <w:t>二是</w:t>
      </w:r>
      <w:r>
        <w:rPr>
          <w:rFonts w:hint="eastAsia" w:ascii="仿宋" w:hAnsi="仿宋" w:eastAsia="仿宋" w:cs="仿宋"/>
          <w:color w:val="auto"/>
          <w:sz w:val="32"/>
          <w:szCs w:val="32"/>
          <w:shd w:val="clear" w:color="auto" w:fill="FFFFFF"/>
          <w:lang w:val="en-US" w:eastAsia="zh-CN"/>
        </w:rPr>
        <w:t>缺乏常态化的监督反馈机制；</w:t>
      </w:r>
    </w:p>
    <w:p>
      <w:pPr>
        <w:spacing w:line="560" w:lineRule="exact"/>
        <w:ind w:firstLine="640" w:firstLineChars="200"/>
        <w:rPr>
          <w:rFonts w:hint="eastAsia" w:ascii="Times New Roman" w:hAnsi="Times New Roman" w:eastAsia="仿宋_GB2312"/>
          <w:sz w:val="32"/>
          <w:szCs w:val="24"/>
          <w:lang w:val="zh-CN"/>
        </w:rPr>
      </w:pPr>
      <w:bookmarkStart w:id="252" w:name="_Toc24264"/>
      <w:bookmarkStart w:id="253" w:name="_Toc2794"/>
      <w:r>
        <w:rPr>
          <w:rFonts w:hint="eastAsia" w:ascii="Times New Roman" w:hAnsi="Times New Roman" w:eastAsia="仿宋_GB2312"/>
          <w:sz w:val="32"/>
          <w:szCs w:val="24"/>
          <w:lang w:val="zh-CN"/>
        </w:rPr>
        <w:t>（三）相关建议</w:t>
      </w:r>
      <w:bookmarkEnd w:id="252"/>
      <w:bookmarkEnd w:id="253"/>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一是加大</w:t>
      </w:r>
      <w:r>
        <w:rPr>
          <w:rFonts w:hint="eastAsia" w:ascii="仿宋" w:hAnsi="仿宋" w:eastAsia="仿宋" w:cs="仿宋"/>
          <w:color w:val="auto"/>
          <w:sz w:val="32"/>
          <w:szCs w:val="32"/>
          <w:u w:val="none" w:color="FFFFFF"/>
          <w:shd w:val="clear" w:color="auto" w:fill="FFFFFF"/>
          <w:lang w:val="zh-CN" w:eastAsia="zh-CN"/>
        </w:rPr>
        <w:t>项目</w:t>
      </w:r>
      <w:r>
        <w:rPr>
          <w:rFonts w:hint="eastAsia" w:ascii="仿宋" w:hAnsi="仿宋" w:eastAsia="仿宋" w:cs="仿宋"/>
          <w:color w:val="auto"/>
          <w:sz w:val="32"/>
          <w:szCs w:val="32"/>
          <w:shd w:val="clear" w:color="auto" w:fill="FFFFFF"/>
          <w:lang w:val="zh-CN" w:eastAsia="zh-CN"/>
        </w:rPr>
        <w:t>过程管理监督的力度，加强项目从立项、实施、竣工、验收等全过程的监管工作；</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u w:val="none" w:color="FFFFFF"/>
          <w:shd w:val="clear" w:color="auto" w:fill="FFFFFF"/>
          <w:lang w:val="zh-CN" w:eastAsia="zh-CN"/>
        </w:rPr>
        <w:t>二是</w:t>
      </w:r>
      <w:r>
        <w:rPr>
          <w:rFonts w:hint="eastAsia" w:ascii="仿宋" w:hAnsi="仿宋" w:eastAsia="仿宋" w:cs="仿宋"/>
          <w:color w:val="auto"/>
          <w:sz w:val="32"/>
          <w:szCs w:val="32"/>
          <w:shd w:val="clear" w:color="auto" w:fill="FFFFFF"/>
          <w:lang w:val="zh-CN" w:eastAsia="zh-CN"/>
        </w:rPr>
        <w:t>加强对项目的产业扶持政策、</w:t>
      </w:r>
      <w:bookmarkStart w:id="271" w:name="_GoBack"/>
      <w:bookmarkEnd w:id="271"/>
      <w:r>
        <w:rPr>
          <w:rFonts w:hint="eastAsia" w:ascii="仿宋" w:hAnsi="仿宋" w:eastAsia="仿宋" w:cs="仿宋"/>
          <w:color w:val="auto"/>
          <w:sz w:val="32"/>
          <w:szCs w:val="32"/>
          <w:u w:val="none" w:color="FFFFFF"/>
          <w:shd w:val="clear" w:color="auto" w:fill="FFFFFF"/>
          <w:lang w:val="zh-CN" w:eastAsia="zh-CN"/>
        </w:rPr>
        <w:t>资金等</w:t>
      </w:r>
      <w:r>
        <w:rPr>
          <w:rFonts w:hint="eastAsia" w:ascii="仿宋" w:hAnsi="仿宋" w:eastAsia="仿宋" w:cs="仿宋"/>
          <w:color w:val="auto"/>
          <w:sz w:val="32"/>
          <w:szCs w:val="32"/>
          <w:shd w:val="clear" w:color="auto" w:fill="FFFFFF"/>
          <w:lang w:val="zh-CN" w:eastAsia="zh-CN"/>
        </w:rPr>
        <w:t>方面的指导；</w:t>
      </w:r>
    </w:p>
    <w:p>
      <w:pPr>
        <w:widowControl/>
        <w:numPr>
          <w:ilvl w:val="0"/>
          <w:numId w:val="0"/>
        </w:numPr>
        <w:autoSpaceDE/>
        <w:autoSpaceDN/>
        <w:snapToGrid w:val="0"/>
        <w:spacing w:line="560" w:lineRule="exact"/>
        <w:ind w:firstLine="640" w:firstLineChars="200"/>
        <w:rPr>
          <w:rFonts w:hint="eastAsia" w:ascii="仿宋" w:hAnsi="仿宋" w:eastAsia="仿宋" w:cs="仿宋"/>
          <w:color w:val="auto"/>
          <w:sz w:val="32"/>
          <w:szCs w:val="32"/>
          <w:shd w:val="clear" w:color="auto" w:fill="FFFFFF"/>
          <w:lang w:val="zh-CN" w:eastAsia="zh-CN"/>
        </w:rPr>
      </w:pPr>
      <w:r>
        <w:rPr>
          <w:rFonts w:hint="eastAsia" w:ascii="仿宋" w:hAnsi="仿宋" w:eastAsia="仿宋" w:cs="仿宋"/>
          <w:color w:val="auto"/>
          <w:sz w:val="32"/>
          <w:szCs w:val="32"/>
          <w:shd w:val="clear" w:color="auto" w:fill="FFFFFF"/>
          <w:lang w:val="zh-CN" w:eastAsia="zh-CN"/>
        </w:rPr>
        <w:t xml:space="preserve">三是做好项目日常巡查记录和问题反馈，留痕备查。 </w:t>
      </w:r>
    </w:p>
    <w:p>
      <w:pPr>
        <w:widowControl/>
        <w:numPr>
          <w:ilvl w:val="0"/>
          <w:numId w:val="0"/>
        </w:numPr>
        <w:autoSpaceDE/>
        <w:autoSpaceDN/>
        <w:snapToGrid w:val="0"/>
        <w:spacing w:line="578" w:lineRule="exact"/>
        <w:ind w:firstLine="640" w:firstLineChars="200"/>
        <w:rPr>
          <w:rFonts w:hint="eastAsia" w:ascii="黑体" w:hAnsi="黑体" w:eastAsia="黑体"/>
          <w:color w:val="auto"/>
          <w:kern w:val="44"/>
          <w:sz w:val="44"/>
          <w:szCs w:val="24"/>
          <w:lang w:val="en-US"/>
        </w:rPr>
      </w:pPr>
      <w:r>
        <w:rPr>
          <w:rFonts w:hint="eastAsia" w:ascii="仿宋" w:hAnsi="仿宋" w:eastAsia="仿宋" w:cs="仿宋"/>
          <w:color w:val="auto"/>
          <w:sz w:val="32"/>
          <w:szCs w:val="32"/>
          <w:shd w:val="clear" w:color="auto" w:fill="FFFFFF"/>
          <w:lang w:val="en-US" w:eastAsia="zh-CN"/>
        </w:rPr>
        <w:br w:type="page"/>
      </w:r>
    </w:p>
    <w:p>
      <w:pPr>
        <w:numPr>
          <w:ilvl w:val="0"/>
          <w:numId w:val="3"/>
        </w:numPr>
        <w:jc w:val="center"/>
        <w:outlineLvl w:val="0"/>
        <w:rPr>
          <w:rFonts w:hint="eastAsia" w:ascii="Times New Roman" w:hAnsi="Times New Roman" w:eastAsia="黑体"/>
          <w:sz w:val="48"/>
          <w:szCs w:val="24"/>
          <w:lang w:val="en-US"/>
        </w:rPr>
      </w:pPr>
      <w:bookmarkStart w:id="254" w:name="_Toc21880"/>
      <w:bookmarkStart w:id="255" w:name="_Toc1111"/>
      <w:bookmarkStart w:id="256" w:name="_Toc5014"/>
      <w:bookmarkStart w:id="257" w:name="_Toc19528"/>
      <w:r>
        <w:rPr>
          <w:rFonts w:hint="eastAsia" w:ascii="Times New Roman" w:hAnsi="Times New Roman" w:eastAsia="黑体"/>
          <w:sz w:val="48"/>
          <w:szCs w:val="24"/>
          <w:lang w:val="en-US"/>
        </w:rPr>
        <w:t>附表</w:t>
      </w:r>
      <w:bookmarkEnd w:id="254"/>
      <w:bookmarkEnd w:id="255"/>
      <w:bookmarkEnd w:id="256"/>
      <w:bookmarkEnd w:id="257"/>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58" w:name="_Toc26323"/>
      <w:r>
        <w:rPr>
          <w:rFonts w:hint="eastAsia" w:ascii="仿宋" w:hAnsi="仿宋" w:eastAsia="仿宋" w:cs="仿宋"/>
          <w:color w:val="auto"/>
          <w:sz w:val="32"/>
          <w:szCs w:val="32"/>
          <w:shd w:val="clear" w:color="auto" w:fill="FFFFFF"/>
          <w:lang w:val="en-US" w:eastAsia="zh-CN"/>
        </w:rPr>
        <w:t>一、收入支出决算总表</w:t>
      </w:r>
      <w:bookmarkEnd w:id="258"/>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59" w:name="_Toc5826"/>
      <w:r>
        <w:rPr>
          <w:rFonts w:hint="eastAsia" w:ascii="仿宋" w:hAnsi="仿宋" w:eastAsia="仿宋" w:cs="仿宋"/>
          <w:color w:val="auto"/>
          <w:sz w:val="32"/>
          <w:szCs w:val="32"/>
          <w:u w:val="none" w:color="FFFFFF"/>
          <w:shd w:val="clear" w:color="auto" w:fill="FFFFFF"/>
          <w:lang w:val="en-US" w:eastAsia="zh-CN"/>
        </w:rPr>
        <w:t>二、</w:t>
      </w:r>
      <w:r>
        <w:rPr>
          <w:rFonts w:hint="eastAsia" w:ascii="仿宋" w:hAnsi="仿宋" w:eastAsia="仿宋" w:cs="仿宋"/>
          <w:color w:val="auto"/>
          <w:sz w:val="32"/>
          <w:szCs w:val="32"/>
          <w:shd w:val="clear" w:color="auto" w:fill="FFFFFF"/>
          <w:lang w:val="en-US" w:eastAsia="zh-CN"/>
        </w:rPr>
        <w:t>收入决算表</w:t>
      </w:r>
      <w:bookmarkEnd w:id="259"/>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0" w:name="_Toc28783"/>
      <w:r>
        <w:rPr>
          <w:rFonts w:hint="eastAsia" w:ascii="仿宋" w:hAnsi="仿宋" w:eastAsia="仿宋" w:cs="仿宋"/>
          <w:color w:val="auto"/>
          <w:sz w:val="32"/>
          <w:szCs w:val="32"/>
          <w:shd w:val="clear" w:color="auto" w:fill="FFFFFF"/>
          <w:lang w:val="en-US" w:eastAsia="zh-CN"/>
        </w:rPr>
        <w:t>三、支出决算表</w:t>
      </w:r>
      <w:bookmarkEnd w:id="260"/>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1" w:name="_Toc13222"/>
      <w:r>
        <w:rPr>
          <w:rFonts w:hint="eastAsia" w:ascii="仿宋" w:hAnsi="仿宋" w:eastAsia="仿宋" w:cs="仿宋"/>
          <w:color w:val="auto"/>
          <w:sz w:val="32"/>
          <w:szCs w:val="32"/>
          <w:shd w:val="clear" w:color="auto" w:fill="FFFFFF"/>
          <w:lang w:val="en-US" w:eastAsia="zh-CN"/>
        </w:rPr>
        <w:t>四、财政拨款收入支出决算总表</w:t>
      </w:r>
      <w:bookmarkEnd w:id="261"/>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2" w:name="_Toc4921"/>
      <w:r>
        <w:rPr>
          <w:rFonts w:hint="eastAsia" w:ascii="仿宋" w:hAnsi="仿宋" w:eastAsia="仿宋" w:cs="仿宋"/>
          <w:color w:val="auto"/>
          <w:sz w:val="32"/>
          <w:szCs w:val="32"/>
          <w:shd w:val="clear" w:color="auto" w:fill="FFFFFF"/>
          <w:lang w:val="en-US" w:eastAsia="zh-CN"/>
        </w:rPr>
        <w:t>五、财政拨款支出决算明细表</w:t>
      </w:r>
      <w:bookmarkEnd w:id="262"/>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3" w:name="_Toc27402"/>
      <w:r>
        <w:rPr>
          <w:rFonts w:hint="eastAsia" w:ascii="仿宋" w:hAnsi="仿宋" w:eastAsia="仿宋" w:cs="仿宋"/>
          <w:color w:val="auto"/>
          <w:sz w:val="32"/>
          <w:szCs w:val="32"/>
          <w:shd w:val="clear" w:color="auto" w:fill="FFFFFF"/>
          <w:lang w:val="en-US" w:eastAsia="zh-CN"/>
        </w:rPr>
        <w:t>六、一般公共预算财政拨款支出决算表</w:t>
      </w:r>
      <w:bookmarkEnd w:id="263"/>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4" w:name="_Toc26981"/>
      <w:r>
        <w:rPr>
          <w:rFonts w:hint="eastAsia" w:ascii="仿宋" w:hAnsi="仿宋" w:eastAsia="仿宋" w:cs="仿宋"/>
          <w:color w:val="auto"/>
          <w:sz w:val="32"/>
          <w:szCs w:val="32"/>
          <w:shd w:val="clear" w:color="auto" w:fill="FFFFFF"/>
          <w:lang w:val="en-US" w:eastAsia="zh-CN"/>
        </w:rPr>
        <w:t>七、一般公共预算财政拨款支出决算明细表</w:t>
      </w:r>
      <w:bookmarkEnd w:id="264"/>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5" w:name="_Toc24734"/>
      <w:r>
        <w:rPr>
          <w:rFonts w:hint="eastAsia" w:ascii="仿宋" w:hAnsi="仿宋" w:eastAsia="仿宋" w:cs="仿宋"/>
          <w:color w:val="auto"/>
          <w:sz w:val="32"/>
          <w:szCs w:val="32"/>
          <w:shd w:val="clear" w:color="auto" w:fill="FFFFFF"/>
          <w:lang w:val="en-US" w:eastAsia="zh-CN"/>
        </w:rPr>
        <w:t>八、一般公共预算财政拨款基本支出决算表</w:t>
      </w:r>
      <w:bookmarkEnd w:id="265"/>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6" w:name="_Toc22794"/>
      <w:r>
        <w:rPr>
          <w:rFonts w:hint="eastAsia" w:ascii="仿宋" w:hAnsi="仿宋" w:eastAsia="仿宋" w:cs="仿宋"/>
          <w:color w:val="auto"/>
          <w:sz w:val="32"/>
          <w:szCs w:val="32"/>
          <w:shd w:val="clear" w:color="auto" w:fill="FFFFFF"/>
          <w:lang w:val="en-US" w:eastAsia="zh-CN"/>
        </w:rPr>
        <w:t>九、一般公共预算财政拨款项目支出决算表</w:t>
      </w:r>
      <w:bookmarkEnd w:id="266"/>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7" w:name="_Toc30384"/>
      <w:r>
        <w:rPr>
          <w:rFonts w:hint="eastAsia" w:ascii="仿宋" w:hAnsi="仿宋" w:eastAsia="仿宋" w:cs="仿宋"/>
          <w:color w:val="auto"/>
          <w:sz w:val="32"/>
          <w:szCs w:val="32"/>
          <w:shd w:val="clear" w:color="auto" w:fill="FFFFFF"/>
          <w:lang w:val="en-US" w:eastAsia="zh-CN"/>
        </w:rPr>
        <w:t>十、政府性基金预</w:t>
      </w:r>
      <w:r>
        <w:rPr>
          <w:rFonts w:hint="eastAsia" w:ascii="仿宋" w:hAnsi="仿宋" w:eastAsia="仿宋" w:cs="仿宋"/>
          <w:color w:val="auto"/>
          <w:sz w:val="32"/>
          <w:szCs w:val="32"/>
          <w:u w:val="none" w:color="FFFFFF"/>
          <w:shd w:val="clear" w:color="auto" w:fill="FFFFFF"/>
          <w:lang w:val="en-US" w:eastAsia="zh-CN"/>
        </w:rPr>
        <w:t>算</w:t>
      </w:r>
      <w:r>
        <w:rPr>
          <w:rFonts w:hint="eastAsia" w:ascii="仿宋" w:hAnsi="仿宋" w:eastAsia="仿宋" w:cs="仿宋"/>
          <w:color w:val="auto"/>
          <w:sz w:val="32"/>
          <w:szCs w:val="32"/>
          <w:shd w:val="clear" w:color="auto" w:fill="FFFFFF"/>
          <w:lang w:val="en-US" w:eastAsia="zh-CN"/>
        </w:rPr>
        <w:t>财政拨款收入支出决算表</w:t>
      </w:r>
      <w:bookmarkEnd w:id="267"/>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8" w:name="_Toc25961"/>
      <w:r>
        <w:rPr>
          <w:rFonts w:hint="eastAsia" w:ascii="仿宋" w:hAnsi="仿宋" w:eastAsia="仿宋" w:cs="仿宋"/>
          <w:color w:val="auto"/>
          <w:sz w:val="32"/>
          <w:szCs w:val="32"/>
          <w:shd w:val="clear" w:color="auto" w:fill="FFFFFF"/>
          <w:lang w:val="en-US" w:eastAsia="zh-CN"/>
        </w:rPr>
        <w:t>十一、国有资本经营预</w:t>
      </w:r>
      <w:r>
        <w:rPr>
          <w:rFonts w:hint="eastAsia" w:ascii="仿宋" w:hAnsi="仿宋" w:eastAsia="仿宋" w:cs="仿宋"/>
          <w:color w:val="auto"/>
          <w:sz w:val="32"/>
          <w:szCs w:val="32"/>
          <w:u w:val="none" w:color="FFFFFF"/>
          <w:shd w:val="clear" w:color="auto" w:fill="FFFFFF"/>
          <w:lang w:val="en-US" w:eastAsia="zh-CN"/>
        </w:rPr>
        <w:t>算</w:t>
      </w:r>
      <w:r>
        <w:rPr>
          <w:rFonts w:hint="eastAsia" w:ascii="仿宋" w:hAnsi="仿宋" w:eastAsia="仿宋" w:cs="仿宋"/>
          <w:color w:val="auto"/>
          <w:sz w:val="32"/>
          <w:szCs w:val="32"/>
          <w:shd w:val="clear" w:color="auto" w:fill="FFFFFF"/>
          <w:lang w:val="en-US" w:eastAsia="zh-CN"/>
        </w:rPr>
        <w:t>财政拨款收入支出决算表</w:t>
      </w:r>
      <w:bookmarkEnd w:id="268"/>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69" w:name="_Toc27887"/>
      <w:r>
        <w:rPr>
          <w:rFonts w:hint="eastAsia" w:ascii="仿宋" w:hAnsi="仿宋" w:eastAsia="仿宋" w:cs="仿宋"/>
          <w:color w:val="auto"/>
          <w:sz w:val="32"/>
          <w:szCs w:val="32"/>
          <w:shd w:val="clear" w:color="auto" w:fill="FFFFFF"/>
          <w:lang w:val="en-US" w:eastAsia="zh-CN"/>
        </w:rPr>
        <w:t>十二、国有资本经营预算财政拨款支出决算表</w:t>
      </w:r>
      <w:bookmarkEnd w:id="269"/>
    </w:p>
    <w:p>
      <w:pPr>
        <w:widowControl/>
        <w:numPr>
          <w:ilvl w:val="0"/>
          <w:numId w:val="0"/>
        </w:numPr>
        <w:autoSpaceDE/>
        <w:autoSpaceDN/>
        <w:snapToGrid w:val="0"/>
        <w:spacing w:line="578" w:lineRule="exact"/>
        <w:ind w:firstLine="640" w:firstLineChars="200"/>
        <w:outlineLvl w:val="1"/>
        <w:rPr>
          <w:rFonts w:hint="eastAsia" w:ascii="仿宋" w:hAnsi="仿宋" w:eastAsia="仿宋" w:cs="仿宋"/>
          <w:color w:val="auto"/>
          <w:sz w:val="32"/>
          <w:szCs w:val="32"/>
          <w:shd w:val="clear" w:color="auto" w:fill="FFFFFF"/>
          <w:lang w:val="en-US" w:eastAsia="zh-CN"/>
        </w:rPr>
      </w:pPr>
      <w:bookmarkStart w:id="270" w:name="_Toc6974"/>
      <w:r>
        <w:rPr>
          <w:rFonts w:hint="eastAsia" w:ascii="仿宋" w:hAnsi="仿宋" w:eastAsia="仿宋" w:cs="仿宋"/>
          <w:color w:val="auto"/>
          <w:sz w:val="32"/>
          <w:szCs w:val="32"/>
          <w:shd w:val="clear" w:color="auto" w:fill="FFFFFF"/>
          <w:lang w:val="en-US" w:eastAsia="zh-CN"/>
        </w:rPr>
        <w:t>十三、财政拨款“三公”经费支出决算表</w:t>
      </w:r>
      <w:bookmarkEnd w:id="270"/>
    </w:p>
    <w:p>
      <w:pPr>
        <w:rPr>
          <w:rFonts w:hint="eastAsia" w:ascii="华文中宋" w:hAnsi="华文中宋" w:eastAsia="华文中宋"/>
          <w:color w:val="auto"/>
          <w:kern w:val="2"/>
          <w:sz w:val="36"/>
          <w:szCs w:val="24"/>
          <w:lang w:val="en-US"/>
        </w:rPr>
      </w:pPr>
    </w:p>
    <w:sectPr>
      <w:footerReference r:id="rId3"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方正小标宋简体">
    <w:altName w:val="仿宋_GB2312"/>
    <w:panose1 w:val="00000600000000000000"/>
    <w:charset w:val="86"/>
    <w:family w:val="script"/>
    <w:pitch w:val="default"/>
    <w:sig w:usb0="00000000" w:usb1="00000000" w:usb2="00000012" w:usb3="00000000" w:csb0="00160001" w:csb1="12030000"/>
  </w:font>
  <w:font w:name="仿宋">
    <w:altName w:val="微软雅黑"/>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4</w:t>
                          </w:r>
                          <w:r>
                            <w:rPr>
                              <w:rFonts w:hint="eastAsia"/>
                              <w:sz w:val="18"/>
                              <w:szCs w:val="24"/>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NQ+4/TdAQAAvgMAAA4AAAAAAAAA&#10;AQAgAAAAHgEAAGRycy9lMm9Eb2MueG1sUEsFBgAAAAAGAAYAWQEAAG0FAAAAAA==&#10;">
              <v:fill on="f" focussize="0,0"/>
              <v:stroke on="f"/>
              <v:imagedata o:title=""/>
              <o:lock v:ext="edit" aspectratio="f"/>
              <v:textbox inset="0mm,0mm,0mm,0mm" style="mso-fit-shape-to-text:t;">
                <w:txbxContent>
                  <w:p>
                    <w:pPr>
                      <w:pStyle w:val="11"/>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4</w:t>
                    </w:r>
                    <w:r>
                      <w:rPr>
                        <w:rFonts w:hint="eastAsia"/>
                        <w:sz w:val="18"/>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16BF4"/>
    <w:multiLevelType w:val="multilevel"/>
    <w:tmpl w:val="E2A16BF4"/>
    <w:lvl w:ilvl="0" w:tentative="0">
      <w:start w:val="5"/>
      <w:numFmt w:val="chineseCounting"/>
      <w:suff w:val="space"/>
      <w:lvlText w:val="第%1部分"/>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EE99C1DB"/>
    <w:multiLevelType w:val="multilevel"/>
    <w:tmpl w:val="EE99C1DB"/>
    <w:lvl w:ilvl="0" w:tentative="0">
      <w:start w:val="4"/>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2B10ADE5"/>
    <w:multiLevelType w:val="multilevel"/>
    <w:tmpl w:val="2B10ADE5"/>
    <w:lvl w:ilvl="0" w:tentative="0">
      <w:start w:val="2"/>
      <w:numFmt w:val="chineseCounting"/>
      <w:suff w:val="space"/>
      <w:lvlText w:val="第%1部分"/>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mM5ZjQxMzIwMjQwNWMyODAyMThjMGY3Yzc2MzUifQ=="/>
  </w:docVars>
  <w:rsids>
    <w:rsidRoot w:val="00172A27"/>
    <w:rsid w:val="0A5210F1"/>
    <w:rsid w:val="193D062C"/>
    <w:rsid w:val="1E5C4300"/>
    <w:rsid w:val="27E26D8D"/>
    <w:rsid w:val="556371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uiPriority="99" w:semiHidden="0" w:name="heading 1"/>
    <w:lsdException w:uiPriority="99" w:semiHidden="0" w:name="heading 2"/>
    <w:lsdException w:qFormat="1" w:uiPriority="99" w:semiHidden="0" w:name="heading 3"/>
    <w:lsdException w:qFormat="1"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99" w:semiHidden="0" w:name="toc 1"/>
    <w:lsdException w:qFormat="1" w:uiPriority="99" w:semiHidden="0" w:name="toc 2"/>
    <w:lsdException w:qFormat="1"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0" w:semiHidden="0" w:name="header"/>
    <w:lsdException w:qFormat="1" w:uiPriority="0"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99" w:semiHidden="0" w:name="Body Text"/>
    <w:lsdException w:qFormat="1"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iPriority="0" w:semiHidden="0" w:name="Plain Text"/>
    <w:lsdException w:qFormat="1" w:unhideWhenUsed="0" w:uiPriority="99" w:semiHidden="0" w:name="E-mail Signature"/>
    <w:lsdException w:qFormat="1"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paragraph" w:styleId="3">
    <w:name w:val="heading 1"/>
    <w:unhideWhenUsed/>
    <w:uiPriority w:val="99"/>
    <w:pPr>
      <w:widowControl w:val="0"/>
      <w:autoSpaceDE w:val="0"/>
      <w:autoSpaceDN w:val="0"/>
      <w:adjustRightInd w:val="0"/>
      <w:spacing w:before="240" w:after="240"/>
      <w:jc w:val="center"/>
      <w:outlineLvl w:val="0"/>
    </w:pPr>
    <w:rPr>
      <w:rFonts w:hint="eastAsia" w:ascii="Times New Roman" w:hAnsi="Times New Roman" w:eastAsia="Times New Roman" w:cs="Times New Roman"/>
      <w:b/>
      <w:sz w:val="32"/>
      <w:szCs w:val="24"/>
    </w:rPr>
  </w:style>
  <w:style w:type="paragraph" w:styleId="4">
    <w:name w:val="heading 2"/>
    <w:unhideWhenUsed/>
    <w:uiPriority w:val="99"/>
    <w:pPr>
      <w:widowControl w:val="0"/>
      <w:autoSpaceDE w:val="0"/>
      <w:autoSpaceDN w:val="0"/>
      <w:adjustRightInd w:val="0"/>
      <w:spacing w:before="360" w:after="360"/>
      <w:outlineLvl w:val="1"/>
    </w:pPr>
    <w:rPr>
      <w:rFonts w:hint="eastAsia" w:ascii="Times New Roman" w:hAnsi="Times New Roman" w:eastAsia="Times New Roman" w:cs="Times New Roman"/>
      <w:sz w:val="32"/>
      <w:szCs w:val="24"/>
    </w:rPr>
  </w:style>
  <w:style w:type="paragraph" w:styleId="5">
    <w:name w:val="heading 3"/>
    <w:basedOn w:val="1"/>
    <w:next w:val="1"/>
    <w:link w:val="22"/>
    <w:unhideWhenUsed/>
    <w:qFormat/>
    <w:uiPriority w:val="99"/>
    <w:pPr>
      <w:keepNext/>
      <w:keepLines/>
      <w:spacing w:before="260" w:after="260"/>
      <w:ind w:left="480" w:leftChars="200"/>
      <w:outlineLvl w:val="2"/>
    </w:pPr>
    <w:rPr>
      <w:rFonts w:hint="eastAsia" w:ascii="Times New Roman" w:hAnsi="Times New Roman" w:eastAsia="Times New Roman"/>
      <w:sz w:val="32"/>
      <w:szCs w:val="24"/>
    </w:rPr>
  </w:style>
  <w:style w:type="paragraph" w:styleId="6">
    <w:name w:val="heading 4"/>
    <w:basedOn w:val="1"/>
    <w:next w:val="1"/>
    <w:unhideWhenUsed/>
    <w:qFormat/>
    <w:uiPriority w:val="99"/>
    <w:pPr>
      <w:keepNext/>
      <w:keepLines/>
      <w:spacing w:before="280" w:after="290" w:line="372" w:lineRule="auto"/>
      <w:outlineLvl w:val="3"/>
    </w:pPr>
    <w:rPr>
      <w:rFonts w:hint="default" w:ascii="Arial" w:hAnsi="Arial" w:eastAsia="楷体"/>
      <w:b/>
      <w:sz w:val="28"/>
      <w:szCs w:val="24"/>
    </w:rPr>
  </w:style>
  <w:style w:type="character" w:default="1" w:styleId="18">
    <w:name w:val="Default Paragraph Font"/>
    <w:unhideWhenUsed/>
    <w:uiPriority w:val="99"/>
    <w:rPr>
      <w:rFonts w:hint="default"/>
      <w:sz w:val="24"/>
      <w:szCs w:val="24"/>
    </w:rPr>
  </w:style>
  <w:style w:type="table" w:default="1" w:styleId="17">
    <w:name w:val="Normal Table"/>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hint="eastAsia" w:ascii="宋体" w:hAnsi="Courier New" w:eastAsia="宋体" w:cs="Courier New"/>
      <w:sz w:val="24"/>
      <w:szCs w:val="24"/>
    </w:rPr>
  </w:style>
  <w:style w:type="paragraph" w:styleId="7">
    <w:name w:val="Body Text"/>
    <w:basedOn w:val="1"/>
    <w:next w:val="8"/>
    <w:unhideWhenUsed/>
    <w:qFormat/>
    <w:uiPriority w:val="99"/>
    <w:pPr>
      <w:spacing w:beforeLines="30"/>
    </w:pPr>
    <w:rPr>
      <w:rFonts w:hint="eastAsia" w:ascii="仿宋_GB2312" w:hAnsi="Times New Roman" w:eastAsia="仿宋_GB2312"/>
      <w:sz w:val="30"/>
      <w:szCs w:val="24"/>
    </w:rPr>
  </w:style>
  <w:style w:type="paragraph" w:customStyle="1" w:styleId="8">
    <w:name w:val="引用1"/>
    <w:next w:val="1"/>
    <w:unhideWhenUsed/>
    <w:qFormat/>
    <w:uiPriority w:val="0"/>
    <w:pPr>
      <w:wordWrap w:val="0"/>
      <w:spacing w:before="200" w:beforeLines="0" w:after="160" w:afterLines="0"/>
      <w:ind w:left="864" w:right="864"/>
      <w:jc w:val="center"/>
    </w:pPr>
    <w:rPr>
      <w:rFonts w:hint="eastAsia" w:ascii="Times New Roman" w:hAnsi="Times New Roman" w:eastAsia="Times New Roman" w:cs="Times New Roman"/>
      <w:i/>
      <w:sz w:val="21"/>
      <w:szCs w:val="22"/>
      <w:lang w:val="en-US" w:eastAsia="zh-CN" w:bidi="ar-SA"/>
    </w:rPr>
  </w:style>
  <w:style w:type="paragraph" w:styleId="9">
    <w:name w:val="Body Text Indent"/>
    <w:basedOn w:val="1"/>
    <w:unhideWhenUsed/>
    <w:qFormat/>
    <w:uiPriority w:val="0"/>
    <w:pPr>
      <w:spacing w:after="120"/>
      <w:ind w:leftChars="200"/>
    </w:pPr>
    <w:rPr>
      <w:rFonts w:hint="eastAsia" w:ascii="仿宋_GB2312" w:hAnsi="Times New Roman" w:eastAsia="仿宋_GB2312"/>
      <w:sz w:val="24"/>
      <w:szCs w:val="24"/>
    </w:rPr>
  </w:style>
  <w:style w:type="paragraph" w:styleId="10">
    <w:name w:val="toc 3"/>
    <w:basedOn w:val="1"/>
    <w:next w:val="1"/>
    <w:unhideWhenUsed/>
    <w:qFormat/>
    <w:uiPriority w:val="99"/>
    <w:pPr>
      <w:ind w:left="840" w:leftChars="400"/>
    </w:pPr>
    <w:rPr>
      <w:rFonts w:hint="default"/>
      <w:sz w:val="24"/>
      <w:szCs w:val="24"/>
    </w:rPr>
  </w:style>
  <w:style w:type="paragraph" w:styleId="11">
    <w:name w:val="footer"/>
    <w:basedOn w:val="1"/>
    <w:unhideWhenUsed/>
    <w:qFormat/>
    <w:uiPriority w:val="0"/>
    <w:pPr>
      <w:tabs>
        <w:tab w:val="center" w:pos="4153"/>
        <w:tab w:val="right" w:pos="8306"/>
      </w:tabs>
      <w:snapToGrid w:val="0"/>
    </w:pPr>
    <w:rPr>
      <w:rFonts w:hint="eastAsia" w:ascii="Times New Roman" w:hAnsi="Times New Roman" w:eastAsia="Times New Roman"/>
      <w:sz w:val="18"/>
      <w:szCs w:val="24"/>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rFonts w:hint="eastAsia" w:ascii="Times New Roman" w:hAnsi="Times New Roman" w:eastAsia="Times New Roman"/>
      <w:sz w:val="18"/>
      <w:szCs w:val="24"/>
    </w:rPr>
  </w:style>
  <w:style w:type="paragraph" w:styleId="13">
    <w:name w:val="toc 1"/>
    <w:basedOn w:val="1"/>
    <w:next w:val="1"/>
    <w:unhideWhenUsed/>
    <w:qFormat/>
    <w:uiPriority w:val="99"/>
    <w:rPr>
      <w:rFonts w:hint="default"/>
      <w:sz w:val="24"/>
      <w:szCs w:val="24"/>
    </w:rPr>
  </w:style>
  <w:style w:type="paragraph" w:styleId="14">
    <w:name w:val="toc 2"/>
    <w:basedOn w:val="1"/>
    <w:next w:val="1"/>
    <w:unhideWhenUsed/>
    <w:qFormat/>
    <w:uiPriority w:val="99"/>
    <w:pPr>
      <w:ind w:left="420" w:leftChars="200"/>
    </w:pPr>
    <w:rPr>
      <w:rFonts w:hint="default"/>
      <w:sz w:val="24"/>
      <w:szCs w:val="24"/>
    </w:rPr>
  </w:style>
  <w:style w:type="paragraph" w:styleId="15">
    <w:name w:val="Normal (Web)"/>
    <w:basedOn w:val="1"/>
    <w:unhideWhenUsed/>
    <w:qFormat/>
    <w:uiPriority w:val="0"/>
    <w:pPr>
      <w:spacing w:before="100" w:beforeAutospacing="1" w:after="100" w:afterAutospacing="1"/>
    </w:pPr>
    <w:rPr>
      <w:rFonts w:hint="default"/>
      <w:sz w:val="24"/>
      <w:szCs w:val="24"/>
      <w:lang w:val="en-US" w:eastAsia="zh-CN" w:bidi="ar"/>
    </w:rPr>
  </w:style>
  <w:style w:type="paragraph" w:styleId="16">
    <w:name w:val="Body Text First Indent 2"/>
    <w:basedOn w:val="9"/>
    <w:unhideWhenUsed/>
    <w:qFormat/>
    <w:uiPriority w:val="0"/>
    <w:pPr>
      <w:ind w:firstLine="420" w:firstLineChars="200"/>
    </w:pPr>
    <w:rPr>
      <w:rFonts w:hint="eastAsia"/>
      <w:sz w:val="24"/>
      <w:szCs w:val="24"/>
    </w:rPr>
  </w:style>
  <w:style w:type="paragraph" w:customStyle="1" w:styleId="19">
    <w:name w:val="WPSOffice手动目录 2"/>
    <w:unhideWhenUsed/>
    <w:uiPriority w:val="0"/>
    <w:pPr>
      <w:spacing w:beforeLines="0" w:afterLines="0"/>
      <w:ind w:leftChars="200"/>
    </w:pPr>
    <w:rPr>
      <w:rFonts w:hint="default" w:ascii="Times New Roman" w:hAnsi="Times New Roman" w:eastAsia="宋体" w:cs="Times New Roman"/>
      <w:sz w:val="20"/>
      <w:szCs w:val="24"/>
    </w:rPr>
  </w:style>
  <w:style w:type="paragraph" w:customStyle="1" w:styleId="20">
    <w:name w:val="WPSOffice手动目录 1"/>
    <w:unhideWhenUsed/>
    <w:uiPriority w:val="0"/>
    <w:pPr>
      <w:spacing w:beforeLines="0" w:afterLines="0"/>
    </w:pPr>
    <w:rPr>
      <w:rFonts w:hint="default" w:ascii="Times New Roman" w:hAnsi="Times New Roman" w:eastAsia="宋体" w:cs="Times New Roman"/>
      <w:sz w:val="20"/>
      <w:szCs w:val="24"/>
    </w:rPr>
  </w:style>
  <w:style w:type="paragraph" w:customStyle="1" w:styleId="21">
    <w:name w:val="四号正文"/>
    <w:basedOn w:val="1"/>
    <w:unhideWhenUsed/>
    <w:qFormat/>
    <w:uiPriority w:val="0"/>
    <w:pPr>
      <w:spacing w:line="360" w:lineRule="auto"/>
    </w:pPr>
    <w:rPr>
      <w:rFonts w:hint="default" w:ascii="??" w:hAnsi="??" w:eastAsia="宋体"/>
      <w:color w:val="000000"/>
      <w:sz w:val="28"/>
      <w:szCs w:val="24"/>
      <w:lang w:val="zh-CN" w:eastAsia="zh-CN"/>
    </w:rPr>
  </w:style>
  <w:style w:type="character" w:customStyle="1" w:styleId="22">
    <w:name w:val="标题 3 Char"/>
    <w:link w:val="5"/>
    <w:unhideWhenUsed/>
    <w:uiPriority w:val="0"/>
    <w:rPr>
      <w:rFonts w:hint="eastAsia" w:ascii="Times New Roman" w:hAnsi="Times New Roman" w:eastAsia="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2023-09-15T06:53:00Z</dcterms:created>
  <dc:creator>李林骏</dc:creator>
  <cp:lastModifiedBy>HigherGang的cuz！</cp:lastModifiedBy>
  <dcterms:modified xsi:type="dcterms:W3CDTF">2023-11-20T13:12:17Z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0BE0D2CA0683431DB04AD83EEF545BA7_13</vt:lpwstr>
  </property>
</Properties>
</file>