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beforeLines="0" w:afterLines="0" w:line="360" w:lineRule="auto"/>
        <w:jc w:val="center"/>
        <w:rPr>
          <w:rFonts w:hint="eastAsia" w:ascii="方正小标宋简体" w:hAnsi="方正小标宋简体" w:eastAsia="方正小标宋简体"/>
          <w:kern w:val="2"/>
          <w:sz w:val="72"/>
          <w:szCs w:val="24"/>
          <w:lang w:val="zh-CN"/>
        </w:rPr>
      </w:pPr>
      <w:bookmarkStart w:id="18" w:name="_GoBack"/>
      <w:bookmarkEnd w:id="18"/>
    </w:p>
    <w:p>
      <w:pPr>
        <w:spacing w:beforeLines="0" w:afterLines="0" w:line="360" w:lineRule="auto"/>
        <w:jc w:val="center"/>
        <w:rPr>
          <w:rFonts w:hint="eastAsia" w:ascii="方正小标宋简体" w:hAnsi="方正小标宋简体" w:eastAsia="方正小标宋简体"/>
          <w:kern w:val="2"/>
          <w:sz w:val="72"/>
          <w:szCs w:val="24"/>
          <w:lang w:val="zh-CN"/>
        </w:rPr>
      </w:pPr>
    </w:p>
    <w:p>
      <w:pPr>
        <w:spacing w:beforeLines="0" w:afterLines="0" w:line="360" w:lineRule="auto"/>
        <w:jc w:val="center"/>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2022年度</w:t>
      </w:r>
    </w:p>
    <w:p>
      <w:pPr>
        <w:spacing w:beforeLines="0" w:afterLines="0" w:line="360" w:lineRule="auto"/>
        <w:jc w:val="center"/>
        <w:outlineLvl w:val="9"/>
        <w:rPr>
          <w:rFonts w:hint="eastAsia" w:ascii="方正小标宋简体" w:hAnsi="方正小标宋简体" w:eastAsia="方正小标宋简体"/>
          <w:kern w:val="2"/>
          <w:sz w:val="72"/>
          <w:szCs w:val="24"/>
          <w:lang w:val="zh-CN"/>
        </w:rPr>
      </w:pPr>
      <w:r>
        <w:rPr>
          <w:rFonts w:hint="eastAsia" w:ascii="方正小标宋简体" w:hAnsi="方正小标宋简体" w:eastAsia="方正小标宋简体"/>
          <w:kern w:val="2"/>
          <w:sz w:val="72"/>
          <w:szCs w:val="24"/>
          <w:lang w:val="zh-CN"/>
        </w:rPr>
        <w:t>通江县农村饮水安全工程建设管理局单位决算</w:t>
      </w:r>
    </w:p>
    <w:p>
      <w:pPr>
        <w:keepNext/>
        <w:keepLines/>
        <w:tabs>
          <w:tab w:val="right" w:leader="dot" w:pos="8296"/>
        </w:tabs>
        <w:spacing w:beforeLines="0" w:afterLines="0" w:line="576" w:lineRule="exact"/>
        <w:rPr>
          <w:rFonts w:hint="eastAsia" w:ascii="黑体" w:hAnsi="黑体" w:eastAsia="黑体"/>
          <w:b/>
          <w:color w:val="FF0000"/>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p>
    <w:p>
      <w:pPr>
        <w:spacing w:beforeLines="0" w:afterLines="0"/>
        <w:jc w:val="center"/>
        <w:rPr>
          <w:rFonts w:hint="eastAsia" w:ascii="黑体" w:hAnsi="黑体" w:eastAsia="黑体"/>
          <w:color w:val="auto"/>
          <w:kern w:val="2"/>
          <w:sz w:val="48"/>
          <w:szCs w:val="24"/>
          <w:lang w:val="zh-CN"/>
        </w:rPr>
      </w:pPr>
      <w:r>
        <w:rPr>
          <w:rFonts w:hint="eastAsia" w:ascii="黑体" w:hAnsi="黑体" w:eastAsia="黑体"/>
          <w:color w:val="auto"/>
          <w:kern w:val="2"/>
          <w:sz w:val="48"/>
          <w:szCs w:val="24"/>
          <w:lang w:val="zh-CN"/>
        </w:rPr>
        <w:t>目录</w:t>
      </w:r>
    </w:p>
    <w:p>
      <w:pPr>
        <w:spacing w:beforeLines="0" w:afterLines="0"/>
        <w:jc w:val="center"/>
        <w:rPr>
          <w:rFonts w:hint="eastAsia" w:ascii="黑体" w:hAnsi="黑体" w:eastAsia="黑体"/>
          <w:color w:val="auto"/>
          <w:kern w:val="2"/>
          <w:sz w:val="28"/>
          <w:szCs w:val="24"/>
          <w:lang w:val="zh-CN"/>
        </w:rPr>
      </w:pPr>
    </w:p>
    <w:p>
      <w:pPr>
        <w:tabs>
          <w:tab w:val="right" w:leader="dot" w:pos="8296"/>
        </w:tabs>
        <w:spacing w:before="93" w:beforeLines="0" w:afterLines="0"/>
        <w:jc w:val="center"/>
        <w:rPr>
          <w:rFonts w:hint="eastAsia" w:ascii="仿宋" w:hAnsi="仿宋" w:eastAsia="仿宋"/>
          <w:color w:val="auto"/>
          <w:kern w:val="2"/>
          <w:sz w:val="28"/>
          <w:szCs w:val="24"/>
          <w:lang w:val="zh-CN"/>
        </w:rPr>
      </w:pPr>
      <w:r>
        <w:rPr>
          <w:rFonts w:hint="eastAsia" w:ascii="仿宋" w:hAnsi="仿宋" w:eastAsia="仿宋"/>
          <w:color w:val="auto"/>
          <w:kern w:val="2"/>
          <w:sz w:val="28"/>
          <w:szCs w:val="24"/>
          <w:lang w:val="zh-CN"/>
        </w:rPr>
        <w:t>公开时间：2023年</w:t>
      </w:r>
      <w:r>
        <w:rPr>
          <w:rFonts w:hint="eastAsia" w:ascii="仿宋" w:hAnsi="仿宋" w:eastAsia="仿宋"/>
          <w:color w:val="auto"/>
          <w:kern w:val="2"/>
          <w:sz w:val="28"/>
          <w:szCs w:val="24"/>
          <w:lang w:val="en-US" w:eastAsia="zh-CN"/>
        </w:rPr>
        <w:t>8</w:t>
      </w:r>
      <w:r>
        <w:rPr>
          <w:rFonts w:hint="eastAsia" w:ascii="仿宋" w:hAnsi="仿宋" w:eastAsia="仿宋"/>
          <w:color w:val="auto"/>
          <w:kern w:val="2"/>
          <w:sz w:val="28"/>
          <w:szCs w:val="24"/>
          <w:lang w:val="zh-CN"/>
        </w:rPr>
        <w:t>月</w:t>
      </w:r>
      <w:r>
        <w:rPr>
          <w:rFonts w:hint="eastAsia" w:ascii="仿宋" w:hAnsi="仿宋" w:eastAsia="仿宋"/>
          <w:color w:val="auto"/>
          <w:kern w:val="2"/>
          <w:sz w:val="28"/>
          <w:szCs w:val="24"/>
          <w:lang w:val="en-US" w:eastAsia="zh-CN"/>
        </w:rPr>
        <w:t>30</w:t>
      </w:r>
      <w:r>
        <w:rPr>
          <w:rFonts w:hint="eastAsia" w:ascii="仿宋" w:hAnsi="仿宋" w:eastAsia="仿宋"/>
          <w:color w:val="auto"/>
          <w:kern w:val="2"/>
          <w:sz w:val="28"/>
          <w:szCs w:val="24"/>
          <w:lang w:val="zh-CN"/>
        </w:rPr>
        <w:t>日</w:t>
      </w:r>
    </w:p>
    <w:p>
      <w:pPr>
        <w:pStyle w:val="6"/>
        <w:tabs>
          <w:tab w:val="right" w:leader="dot" w:pos="8640"/>
        </w:tabs>
        <w:ind w:left="0" w:leftChars="0" w:firstLine="0" w:firstLineChars="0"/>
      </w:pPr>
      <w:r>
        <w:rPr>
          <w:rFonts w:hint="eastAsia" w:ascii="仿宋" w:hAnsi="仿宋" w:eastAsia="仿宋"/>
          <w:color w:val="auto"/>
          <w:kern w:val="44"/>
          <w:sz w:val="24"/>
          <w:szCs w:val="24"/>
          <w:lang w:val="zh-CN"/>
        </w:rPr>
        <w:fldChar w:fldCharType="begin"/>
      </w:r>
      <w:r>
        <w:rPr>
          <w:rFonts w:hint="eastAsia" w:ascii="仿宋" w:hAnsi="仿宋" w:eastAsia="仿宋"/>
          <w:color w:val="auto"/>
          <w:kern w:val="44"/>
          <w:sz w:val="24"/>
          <w:szCs w:val="24"/>
          <w:lang w:val="zh-CN"/>
        </w:rPr>
        <w:instrText xml:space="preserve">TOC \o "1-2" \h \u </w:instrText>
      </w:r>
      <w:r>
        <w:rPr>
          <w:rFonts w:hint="eastAsia" w:ascii="仿宋" w:hAnsi="仿宋" w:eastAsia="仿宋"/>
          <w:color w:val="auto"/>
          <w:kern w:val="44"/>
          <w:sz w:val="24"/>
          <w:szCs w:val="24"/>
          <w:lang w:val="zh-CN"/>
        </w:rPr>
        <w:fldChar w:fldCharType="separate"/>
      </w: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_Toc15778 </w:instrText>
      </w:r>
      <w:r>
        <w:rPr>
          <w:rFonts w:hint="eastAsia" w:ascii="仿宋" w:hAnsi="仿宋" w:eastAsia="仿宋"/>
          <w:kern w:val="44"/>
          <w:szCs w:val="24"/>
          <w:lang w:val="zh-CN"/>
        </w:rPr>
        <w:fldChar w:fldCharType="separate"/>
      </w:r>
      <w:r>
        <w:rPr>
          <w:rFonts w:hint="default" w:ascii="黑体" w:hAnsi="黑体" w:eastAsia="黑体"/>
          <w:kern w:val="44"/>
          <w:szCs w:val="24"/>
          <w:lang w:val="zh-CN"/>
        </w:rPr>
        <w:t>第一部分</w:t>
      </w:r>
      <w:r>
        <w:rPr>
          <w:rFonts w:hint="eastAsia" w:ascii="黑体" w:hAnsi="黑体" w:eastAsia="黑体"/>
          <w:kern w:val="44"/>
          <w:szCs w:val="24"/>
          <w:lang w:val="en-US" w:eastAsia="zh-CN"/>
        </w:rPr>
        <w:t xml:space="preserve"> </w:t>
      </w:r>
      <w:r>
        <w:rPr>
          <w:rFonts w:hint="eastAsia" w:ascii="黑体" w:hAnsi="黑体" w:eastAsia="黑体"/>
          <w:kern w:val="44"/>
          <w:szCs w:val="24"/>
          <w:lang w:val="zh-CN"/>
        </w:rPr>
        <w:t>单位概况</w:t>
      </w:r>
      <w:r>
        <w:tab/>
      </w:r>
      <w:r>
        <w:fldChar w:fldCharType="begin"/>
      </w:r>
      <w:r>
        <w:instrText xml:space="preserve"> PAGEREF _Toc15778 \h </w:instrText>
      </w:r>
      <w:r>
        <w:fldChar w:fldCharType="separate"/>
      </w:r>
      <w:r>
        <w:t>3</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_Toc3640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一、主要职责</w:t>
      </w:r>
      <w:r>
        <w:tab/>
      </w:r>
      <w:r>
        <w:fldChar w:fldCharType="begin"/>
      </w:r>
      <w:r>
        <w:instrText xml:space="preserve"> PAGEREF _Toc3640 \h </w:instrText>
      </w:r>
      <w:r>
        <w:fldChar w:fldCharType="separate"/>
      </w:r>
      <w:r>
        <w:t>3</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_Toc7127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二、机构设置</w:t>
      </w:r>
      <w:r>
        <w:tab/>
      </w:r>
      <w:r>
        <w:fldChar w:fldCharType="begin"/>
      </w:r>
      <w:r>
        <w:instrText xml:space="preserve"> PAGEREF _Toc7127 \h </w:instrText>
      </w:r>
      <w:r>
        <w:fldChar w:fldCharType="separate"/>
      </w:r>
      <w:r>
        <w:t>3</w:t>
      </w:r>
      <w:r>
        <w:fldChar w:fldCharType="end"/>
      </w:r>
      <w:r>
        <w:rPr>
          <w:rFonts w:hint="eastAsia" w:ascii="仿宋" w:hAnsi="仿宋" w:eastAsia="仿宋"/>
          <w:color w:val="auto"/>
          <w:kern w:val="44"/>
          <w:szCs w:val="24"/>
          <w:lang w:val="zh-CN"/>
        </w:rPr>
        <w:fldChar w:fldCharType="end"/>
      </w:r>
    </w:p>
    <w:p>
      <w:pPr>
        <w:pStyle w:val="6"/>
        <w:tabs>
          <w:tab w:val="right" w:leader="dot" w:pos="8640"/>
        </w:tabs>
        <w:ind w:left="0" w:leftChars="0" w:firstLine="0" w:firstLineChars="0"/>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_Toc11207 </w:instrText>
      </w:r>
      <w:r>
        <w:rPr>
          <w:rFonts w:hint="eastAsia" w:ascii="仿宋" w:hAnsi="仿宋" w:eastAsia="仿宋"/>
          <w:kern w:val="44"/>
          <w:szCs w:val="24"/>
          <w:lang w:val="zh-CN"/>
        </w:rPr>
        <w:fldChar w:fldCharType="separate"/>
      </w:r>
      <w:r>
        <w:rPr>
          <w:rFonts w:hint="eastAsia" w:ascii="黑体" w:hAnsi="黑体" w:eastAsia="黑体" w:cs="Times New Roman"/>
          <w:kern w:val="44"/>
          <w:szCs w:val="24"/>
          <w:lang w:val="zh-CN" w:eastAsia="zh-CN"/>
        </w:rPr>
        <w:t>第二部分 2022年度单位决算情况说明</w:t>
      </w:r>
      <w:r>
        <w:tab/>
      </w:r>
      <w:r>
        <w:fldChar w:fldCharType="begin"/>
      </w:r>
      <w:r>
        <w:instrText xml:space="preserve"> PAGEREF _Toc11207 \h </w:instrText>
      </w:r>
      <w:r>
        <w:fldChar w:fldCharType="separate"/>
      </w:r>
      <w:r>
        <w:t>3</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_Toc27839 </w:instrText>
      </w:r>
      <w:r>
        <w:rPr>
          <w:rFonts w:hint="eastAsia" w:ascii="仿宋" w:hAnsi="仿宋" w:eastAsia="仿宋"/>
          <w:kern w:val="44"/>
          <w:szCs w:val="24"/>
          <w:lang w:val="zh-CN"/>
        </w:rPr>
        <w:fldChar w:fldCharType="separate"/>
      </w:r>
      <w:r>
        <w:rPr>
          <w:rFonts w:hint="eastAsia" w:ascii="黑体" w:hAnsi="黑体" w:eastAsia="黑体" w:cs="Times New Roman"/>
          <w:kern w:val="2"/>
          <w:szCs w:val="24"/>
          <w:lang w:val="zh-CN" w:eastAsia="zh-CN"/>
        </w:rPr>
        <w:t>一、收入支出决算总体情况说明</w:t>
      </w:r>
      <w:r>
        <w:tab/>
      </w:r>
      <w:r>
        <w:fldChar w:fldCharType="begin"/>
      </w:r>
      <w:r>
        <w:instrText xml:space="preserve"> PAGEREF _Toc27839 \h </w:instrText>
      </w:r>
      <w:r>
        <w:fldChar w:fldCharType="separate"/>
      </w:r>
      <w:r>
        <w:t>3</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_Toc17902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二、收入决算情况说明</w:t>
      </w:r>
      <w:r>
        <w:tab/>
      </w:r>
      <w:r>
        <w:fldChar w:fldCharType="begin"/>
      </w:r>
      <w:r>
        <w:instrText xml:space="preserve"> PAGEREF _Toc17902 \h </w:instrText>
      </w:r>
      <w:r>
        <w:fldChar w:fldCharType="separate"/>
      </w:r>
      <w:r>
        <w:t>4</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_Toc23247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三、支出决算情况说明</w:t>
      </w:r>
      <w:r>
        <w:tab/>
      </w:r>
      <w:r>
        <w:fldChar w:fldCharType="begin"/>
      </w:r>
      <w:r>
        <w:instrText xml:space="preserve"> PAGEREF _Toc23247 \h </w:instrText>
      </w:r>
      <w:r>
        <w:fldChar w:fldCharType="separate"/>
      </w:r>
      <w:r>
        <w:t>5</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_Toc7372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四、财政拨款收入支出决算总体情况说明</w:t>
      </w:r>
      <w:r>
        <w:tab/>
      </w:r>
      <w:r>
        <w:fldChar w:fldCharType="begin"/>
      </w:r>
      <w:r>
        <w:instrText xml:space="preserve"> PAGEREF _Toc7372 \h </w:instrText>
      </w:r>
      <w:r>
        <w:fldChar w:fldCharType="separate"/>
      </w:r>
      <w:r>
        <w:t>5</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_Toc28451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五、一般公共预算财政拨款支出决算情况说明</w:t>
      </w:r>
      <w:r>
        <w:tab/>
      </w:r>
      <w:r>
        <w:fldChar w:fldCharType="begin"/>
      </w:r>
      <w:r>
        <w:instrText xml:space="preserve"> PAGEREF _Toc28451 \h </w:instrText>
      </w:r>
      <w:r>
        <w:fldChar w:fldCharType="separate"/>
      </w:r>
      <w:r>
        <w:t>6</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_Toc8359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六、一般公共预算财政拨款基本支出决算情况说明</w:t>
      </w:r>
      <w:r>
        <w:tab/>
      </w:r>
      <w:r>
        <w:fldChar w:fldCharType="begin"/>
      </w:r>
      <w:r>
        <w:instrText xml:space="preserve"> PAGEREF _Toc8359 \h </w:instrText>
      </w:r>
      <w:r>
        <w:fldChar w:fldCharType="separate"/>
      </w:r>
      <w:r>
        <w:t>9</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_Toc32308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七、“三公”经费财政拨款支出决算情况说明</w:t>
      </w:r>
      <w:r>
        <w:tab/>
      </w:r>
      <w:r>
        <w:fldChar w:fldCharType="begin"/>
      </w:r>
      <w:r>
        <w:instrText xml:space="preserve"> PAGEREF _Toc32308 \h </w:instrText>
      </w:r>
      <w:r>
        <w:fldChar w:fldCharType="separate"/>
      </w:r>
      <w:r>
        <w:t>9</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_Toc3117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八、政府性基金预算支出决算情况说明</w:t>
      </w:r>
      <w:r>
        <w:tab/>
      </w:r>
      <w:r>
        <w:fldChar w:fldCharType="begin"/>
      </w:r>
      <w:r>
        <w:instrText xml:space="preserve"> PAGEREF _Toc3117 \h </w:instrText>
      </w:r>
      <w:r>
        <w:fldChar w:fldCharType="separate"/>
      </w:r>
      <w:r>
        <w:t>11</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_Toc14225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九、国有资本经营预算支出决算情况说明</w:t>
      </w:r>
      <w:r>
        <w:tab/>
      </w:r>
      <w:r>
        <w:fldChar w:fldCharType="begin"/>
      </w:r>
      <w:r>
        <w:instrText xml:space="preserve"> PAGEREF _Toc14225 \h </w:instrText>
      </w:r>
      <w:r>
        <w:fldChar w:fldCharType="separate"/>
      </w:r>
      <w:r>
        <w:t>11</w:t>
      </w:r>
      <w:r>
        <w:fldChar w:fldCharType="end"/>
      </w:r>
      <w:r>
        <w:rPr>
          <w:rFonts w:hint="eastAsia" w:ascii="仿宋" w:hAnsi="仿宋" w:eastAsia="仿宋"/>
          <w:color w:val="auto"/>
          <w:kern w:val="44"/>
          <w:szCs w:val="24"/>
          <w:lang w:val="zh-CN"/>
        </w:rPr>
        <w:fldChar w:fldCharType="end"/>
      </w:r>
    </w:p>
    <w:p>
      <w:pPr>
        <w:pStyle w:val="6"/>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_Toc6635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十、其他重要事项的情况说明</w:t>
      </w:r>
      <w:r>
        <w:tab/>
      </w:r>
      <w:r>
        <w:fldChar w:fldCharType="begin"/>
      </w:r>
      <w:r>
        <w:instrText xml:space="preserve"> PAGEREF _Toc6635 \h </w:instrText>
      </w:r>
      <w:r>
        <w:fldChar w:fldCharType="separate"/>
      </w:r>
      <w:r>
        <w:t>11</w:t>
      </w:r>
      <w:r>
        <w:fldChar w:fldCharType="end"/>
      </w:r>
      <w:r>
        <w:rPr>
          <w:rFonts w:hint="eastAsia" w:ascii="仿宋" w:hAnsi="仿宋" w:eastAsia="仿宋"/>
          <w:color w:val="auto"/>
          <w:kern w:val="44"/>
          <w:szCs w:val="24"/>
          <w:lang w:val="zh-CN"/>
        </w:rPr>
        <w:fldChar w:fldCharType="end"/>
      </w:r>
    </w:p>
    <w:p>
      <w:pPr>
        <w:pStyle w:val="5"/>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_Toc22526 </w:instrText>
      </w:r>
      <w:r>
        <w:rPr>
          <w:rFonts w:hint="eastAsia" w:ascii="仿宋" w:hAnsi="仿宋" w:eastAsia="仿宋"/>
          <w:kern w:val="44"/>
          <w:szCs w:val="24"/>
          <w:lang w:val="zh-CN"/>
        </w:rPr>
        <w:fldChar w:fldCharType="separate"/>
      </w:r>
      <w:r>
        <w:rPr>
          <w:rFonts w:hint="eastAsia" w:ascii="黑体" w:hAnsi="黑体" w:eastAsia="黑体"/>
          <w:kern w:val="2"/>
          <w:szCs w:val="24"/>
          <w:lang w:val="zh-CN"/>
        </w:rPr>
        <w:t>第三部分 名</w:t>
      </w:r>
      <w:r>
        <w:rPr>
          <w:rFonts w:hint="eastAsia" w:ascii="黑体" w:hAnsi="黑体" w:eastAsia="黑体"/>
          <w:kern w:val="44"/>
          <w:szCs w:val="24"/>
          <w:lang w:val="zh-CN"/>
        </w:rPr>
        <w:t>词解释</w:t>
      </w:r>
      <w:r>
        <w:tab/>
      </w:r>
      <w:r>
        <w:fldChar w:fldCharType="begin"/>
      </w:r>
      <w:r>
        <w:instrText xml:space="preserve"> PAGEREF _Toc22526 \h </w:instrText>
      </w:r>
      <w:r>
        <w:fldChar w:fldCharType="separate"/>
      </w:r>
      <w:r>
        <w:t>12</w:t>
      </w:r>
      <w:r>
        <w:fldChar w:fldCharType="end"/>
      </w:r>
      <w:r>
        <w:rPr>
          <w:rFonts w:hint="eastAsia" w:ascii="仿宋" w:hAnsi="仿宋" w:eastAsia="仿宋"/>
          <w:color w:val="auto"/>
          <w:kern w:val="44"/>
          <w:szCs w:val="24"/>
          <w:lang w:val="zh-CN"/>
        </w:rPr>
        <w:fldChar w:fldCharType="end"/>
      </w:r>
    </w:p>
    <w:p>
      <w:pPr>
        <w:pStyle w:val="5"/>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_Toc30289 </w:instrText>
      </w:r>
      <w:r>
        <w:rPr>
          <w:rFonts w:hint="eastAsia" w:ascii="仿宋" w:hAnsi="仿宋" w:eastAsia="仿宋"/>
          <w:kern w:val="44"/>
          <w:szCs w:val="24"/>
          <w:lang w:val="zh-CN"/>
        </w:rPr>
        <w:fldChar w:fldCharType="separate"/>
      </w:r>
      <w:r>
        <w:rPr>
          <w:rFonts w:hint="eastAsia" w:ascii="黑体" w:hAnsi="黑体" w:eastAsia="黑体"/>
          <w:kern w:val="2"/>
          <w:szCs w:val="24"/>
          <w:lang w:val="en-US"/>
        </w:rPr>
        <w:t>第</w:t>
      </w:r>
      <w:r>
        <w:rPr>
          <w:rFonts w:hint="eastAsia" w:ascii="黑体" w:hAnsi="黑体" w:eastAsia="黑体"/>
          <w:kern w:val="44"/>
          <w:szCs w:val="24"/>
          <w:lang w:val="en-US"/>
        </w:rPr>
        <w:t>四部分 附件</w:t>
      </w:r>
      <w:r>
        <w:tab/>
      </w:r>
      <w:r>
        <w:fldChar w:fldCharType="begin"/>
      </w:r>
      <w:r>
        <w:instrText xml:space="preserve"> PAGEREF _Toc30289 \h </w:instrText>
      </w:r>
      <w:r>
        <w:fldChar w:fldCharType="separate"/>
      </w:r>
      <w:r>
        <w:t>14</w:t>
      </w:r>
      <w:r>
        <w:fldChar w:fldCharType="end"/>
      </w:r>
      <w:r>
        <w:rPr>
          <w:rFonts w:hint="eastAsia" w:ascii="仿宋" w:hAnsi="仿宋" w:eastAsia="仿宋"/>
          <w:color w:val="auto"/>
          <w:kern w:val="44"/>
          <w:szCs w:val="24"/>
          <w:lang w:val="zh-CN"/>
        </w:rPr>
        <w:fldChar w:fldCharType="end"/>
      </w:r>
    </w:p>
    <w:p>
      <w:pPr>
        <w:pStyle w:val="5"/>
        <w:tabs>
          <w:tab w:val="right" w:leader="dot" w:pos="8640"/>
        </w:tabs>
      </w:pPr>
      <w:r>
        <w:rPr>
          <w:rFonts w:hint="eastAsia" w:ascii="仿宋" w:hAnsi="仿宋" w:eastAsia="仿宋"/>
          <w:color w:val="auto"/>
          <w:kern w:val="44"/>
          <w:szCs w:val="24"/>
          <w:lang w:val="zh-CN"/>
        </w:rPr>
        <w:fldChar w:fldCharType="begin"/>
      </w:r>
      <w:r>
        <w:rPr>
          <w:rFonts w:hint="eastAsia" w:ascii="仿宋" w:hAnsi="仿宋" w:eastAsia="仿宋"/>
          <w:kern w:val="44"/>
          <w:szCs w:val="24"/>
          <w:lang w:val="zh-CN"/>
        </w:rPr>
        <w:instrText xml:space="preserve"> HYPERLINK \l _Toc14820 </w:instrText>
      </w:r>
      <w:r>
        <w:rPr>
          <w:rFonts w:hint="eastAsia" w:ascii="仿宋" w:hAnsi="仿宋" w:eastAsia="仿宋"/>
          <w:kern w:val="44"/>
          <w:szCs w:val="24"/>
          <w:lang w:val="zh-CN"/>
        </w:rPr>
        <w:fldChar w:fldCharType="separate"/>
      </w:r>
      <w:r>
        <w:rPr>
          <w:rFonts w:hint="eastAsia" w:ascii="黑体" w:hAnsi="黑体" w:eastAsia="黑体"/>
          <w:kern w:val="44"/>
          <w:szCs w:val="24"/>
          <w:lang w:val="en-US"/>
        </w:rPr>
        <w:t>第五部分 附表</w:t>
      </w:r>
      <w:r>
        <w:tab/>
      </w:r>
      <w:r>
        <w:fldChar w:fldCharType="begin"/>
      </w:r>
      <w:r>
        <w:instrText xml:space="preserve"> PAGEREF _Toc14820 \h </w:instrText>
      </w:r>
      <w:r>
        <w:fldChar w:fldCharType="separate"/>
      </w:r>
      <w:r>
        <w:t>16</w:t>
      </w:r>
      <w:r>
        <w:fldChar w:fldCharType="end"/>
      </w:r>
      <w:r>
        <w:rPr>
          <w:rFonts w:hint="eastAsia" w:ascii="仿宋" w:hAnsi="仿宋" w:eastAsia="仿宋"/>
          <w:color w:val="auto"/>
          <w:kern w:val="44"/>
          <w:szCs w:val="24"/>
          <w:lang w:val="zh-CN"/>
        </w:rPr>
        <w:fldChar w:fldCharType="end"/>
      </w:r>
    </w:p>
    <w:p>
      <w:pPr>
        <w:spacing w:beforeLines="0" w:afterLines="0" w:line="440" w:lineRule="exact"/>
        <w:rPr>
          <w:rFonts w:hint="eastAsia" w:ascii="仿宋" w:hAnsi="仿宋" w:eastAsia="仿宋"/>
          <w:color w:val="auto"/>
          <w:kern w:val="44"/>
          <w:sz w:val="24"/>
          <w:szCs w:val="24"/>
          <w:lang w:val="zh-CN"/>
        </w:rPr>
      </w:pPr>
      <w:r>
        <w:rPr>
          <w:rFonts w:hint="eastAsia" w:ascii="仿宋" w:hAnsi="仿宋" w:eastAsia="仿宋"/>
          <w:color w:val="auto"/>
          <w:kern w:val="44"/>
          <w:szCs w:val="24"/>
          <w:lang w:val="zh-CN"/>
        </w:rPr>
        <w:fldChar w:fldCharType="end"/>
      </w:r>
    </w:p>
    <w:p>
      <w:pPr>
        <w:pStyle w:val="4"/>
        <w:keepNext/>
        <w:keepLines/>
        <w:numPr>
          <w:ilvl w:val="0"/>
          <w:numId w:val="0"/>
        </w:numPr>
        <w:spacing w:before="260" w:beforeLines="0" w:after="260" w:afterLines="0" w:line="576" w:lineRule="exact"/>
        <w:jc w:val="center"/>
        <w:outlineLvl w:val="0"/>
        <w:rPr>
          <w:rFonts w:hint="eastAsia" w:ascii="黑体" w:hAnsi="黑体" w:eastAsia="黑体"/>
          <w:color w:val="auto"/>
          <w:kern w:val="44"/>
          <w:sz w:val="44"/>
          <w:szCs w:val="24"/>
          <w:lang w:val="zh-CN"/>
        </w:rPr>
      </w:pPr>
      <w:bookmarkStart w:id="0" w:name="_Toc15778"/>
      <w:r>
        <w:rPr>
          <w:rFonts w:hint="default" w:ascii="黑体" w:hAnsi="黑体" w:eastAsia="黑体"/>
          <w:color w:val="auto"/>
          <w:kern w:val="44"/>
          <w:sz w:val="44"/>
          <w:szCs w:val="24"/>
          <w:u w:val="none" w:color="auto"/>
          <w:lang w:val="zh-CN"/>
        </w:rPr>
        <w:t>第一部分</w:t>
      </w:r>
      <w:r>
        <w:rPr>
          <w:rFonts w:hint="eastAsia" w:ascii="黑体" w:hAnsi="黑体" w:eastAsia="黑体"/>
          <w:color w:val="auto"/>
          <w:kern w:val="44"/>
          <w:sz w:val="44"/>
          <w:szCs w:val="24"/>
          <w:lang w:val="en-US" w:eastAsia="zh-CN"/>
        </w:rPr>
        <w:t xml:space="preserve"> </w:t>
      </w:r>
      <w:r>
        <w:rPr>
          <w:rFonts w:hint="eastAsia" w:ascii="黑体" w:hAnsi="黑体" w:eastAsia="黑体"/>
          <w:color w:val="auto"/>
          <w:kern w:val="44"/>
          <w:sz w:val="44"/>
          <w:szCs w:val="24"/>
          <w:lang w:val="zh-CN"/>
        </w:rPr>
        <w:t>单位概况</w:t>
      </w:r>
      <w:bookmarkEnd w:id="0"/>
    </w:p>
    <w:p>
      <w:pPr>
        <w:keepNext/>
        <w:keepLines/>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firstLine="640" w:firstLineChars="200"/>
        <w:jc w:val="both"/>
        <w:textAlignment w:val="auto"/>
        <w:outlineLvl w:val="1"/>
        <w:rPr>
          <w:rFonts w:hint="eastAsia" w:ascii="黑体" w:hAnsi="黑体" w:eastAsia="黑体"/>
          <w:color w:val="auto"/>
          <w:kern w:val="2"/>
          <w:sz w:val="32"/>
          <w:szCs w:val="24"/>
          <w:lang w:val="zh-CN"/>
        </w:rPr>
      </w:pPr>
      <w:bookmarkStart w:id="1" w:name="_Toc3640"/>
      <w:r>
        <w:rPr>
          <w:rFonts w:hint="eastAsia" w:ascii="黑体" w:hAnsi="黑体" w:eastAsia="黑体"/>
          <w:color w:val="000000"/>
          <w:kern w:val="2"/>
          <w:sz w:val="32"/>
          <w:szCs w:val="24"/>
          <w:lang w:val="zh-CN"/>
        </w:rPr>
        <w:t>一、主要</w:t>
      </w:r>
      <w:r>
        <w:rPr>
          <w:rFonts w:hint="eastAsia" w:ascii="黑体" w:hAnsi="黑体" w:eastAsia="黑体"/>
          <w:color w:val="auto"/>
          <w:kern w:val="2"/>
          <w:sz w:val="32"/>
          <w:szCs w:val="24"/>
          <w:lang w:val="zh-CN"/>
        </w:rPr>
        <w:t>职责</w:t>
      </w:r>
      <w:bookmarkEnd w:id="1"/>
    </w:p>
    <w:p>
      <w:pPr>
        <w:keepNext/>
        <w:keepLines/>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firstLine="640" w:firstLineChars="200"/>
        <w:jc w:val="both"/>
        <w:textAlignment w:val="auto"/>
        <w:outlineLvl w:val="9"/>
        <w:rPr>
          <w:rFonts w:hint="eastAsia" w:ascii="仿宋_GB2312" w:hAnsi="仿宋_GB2312" w:eastAsia="仿宋_GB2312" w:cs="仿宋_GB2312"/>
          <w:color w:val="auto"/>
          <w:kern w:val="2"/>
          <w:sz w:val="32"/>
          <w:szCs w:val="24"/>
          <w:lang w:val="en-US" w:eastAsia="zh-CN"/>
        </w:rPr>
      </w:pPr>
      <w:r>
        <w:rPr>
          <w:rFonts w:hint="eastAsia" w:ascii="仿宋_GB2312" w:hAnsi="仿宋_GB2312" w:eastAsia="仿宋_GB2312" w:cs="仿宋_GB2312"/>
          <w:color w:val="auto"/>
          <w:kern w:val="2"/>
          <w:sz w:val="32"/>
          <w:szCs w:val="24"/>
          <w:lang w:val="en-US" w:eastAsia="zh-CN"/>
        </w:rPr>
        <w:t xml:space="preserve">宣传贯彻执行国家、省、市关于农村饮水安全工程建设管理的法律法规政策，编制全县农村饮水安全“十一五”规划和年度实施计划并组织实施，科学编制工程建设规划、可行性报告，年度项目申报的相关资料；负责农村饮水安全服务体系建设，拟订农村饮水安全工程建设管理的实施办法；负责对本行政区划内农村饮水安全工程建设及质量、竣工验收和项目资金使用监督；负责水源保护，严格实施水质检测，协调搞好合理水价确定，确保农村饮水安全工程的可持续运行。       </w:t>
      </w:r>
    </w:p>
    <w:p>
      <w:pPr>
        <w:keepNext/>
        <w:keepLines/>
        <w:pageBreakBefore w:val="0"/>
        <w:widowControl w:val="0"/>
        <w:numPr>
          <w:ilvl w:val="0"/>
          <w:numId w:val="1"/>
        </w:numPr>
        <w:kinsoku/>
        <w:wordWrap/>
        <w:overflowPunct/>
        <w:topLinePunct w:val="0"/>
        <w:autoSpaceDE w:val="0"/>
        <w:autoSpaceDN w:val="0"/>
        <w:bidi w:val="0"/>
        <w:adjustRightInd w:val="0"/>
        <w:snapToGrid/>
        <w:spacing w:beforeLines="0" w:afterLines="0" w:line="360" w:lineRule="auto"/>
        <w:ind w:firstLine="640" w:firstLineChars="200"/>
        <w:jc w:val="both"/>
        <w:textAlignment w:val="auto"/>
        <w:outlineLvl w:val="1"/>
        <w:rPr>
          <w:rFonts w:hint="eastAsia" w:ascii="黑体" w:hAnsi="黑体" w:eastAsia="黑体"/>
          <w:color w:val="auto"/>
          <w:kern w:val="2"/>
          <w:sz w:val="32"/>
          <w:szCs w:val="24"/>
          <w:lang w:val="zh-CN"/>
        </w:rPr>
      </w:pPr>
      <w:bookmarkStart w:id="2" w:name="_Toc7127"/>
      <w:r>
        <w:rPr>
          <w:rFonts w:hint="eastAsia" w:ascii="黑体" w:hAnsi="黑体" w:eastAsia="黑体"/>
          <w:color w:val="000000"/>
          <w:kern w:val="2"/>
          <w:sz w:val="32"/>
          <w:szCs w:val="24"/>
          <w:lang w:val="zh-CN"/>
        </w:rPr>
        <w:t>机</w:t>
      </w:r>
      <w:r>
        <w:rPr>
          <w:rFonts w:hint="eastAsia" w:ascii="黑体" w:hAnsi="黑体" w:eastAsia="黑体"/>
          <w:color w:val="auto"/>
          <w:kern w:val="2"/>
          <w:sz w:val="32"/>
          <w:szCs w:val="24"/>
          <w:lang w:val="zh-CN"/>
        </w:rPr>
        <w:t>构设置</w:t>
      </w:r>
      <w:bookmarkEnd w:id="2"/>
    </w:p>
    <w:p>
      <w:pPr>
        <w:keepNext/>
        <w:keepLines/>
        <w:pageBreakBefore w:val="0"/>
        <w:widowControl w:val="0"/>
        <w:numPr>
          <w:ilvl w:val="0"/>
          <w:numId w:val="0"/>
        </w:numPr>
        <w:kinsoku/>
        <w:wordWrap/>
        <w:overflowPunct/>
        <w:topLinePunct w:val="0"/>
        <w:autoSpaceDE w:val="0"/>
        <w:autoSpaceDN w:val="0"/>
        <w:bidi w:val="0"/>
        <w:adjustRightInd w:val="0"/>
        <w:snapToGrid/>
        <w:spacing w:beforeLines="0" w:afterLines="0" w:line="240" w:lineRule="auto"/>
        <w:ind w:firstLine="640" w:firstLineChars="200"/>
        <w:jc w:val="both"/>
        <w:textAlignment w:val="auto"/>
        <w:outlineLvl w:val="9"/>
        <w:rPr>
          <w:rFonts w:hint="eastAsia" w:ascii="仿宋" w:hAnsi="仿宋" w:eastAsia="仿宋" w:cs="仿宋"/>
          <w:color w:val="auto"/>
          <w:sz w:val="32"/>
          <w:szCs w:val="32"/>
          <w:lang w:val="zh-CN" w:eastAsia="zh-CN" w:bidi="ar"/>
        </w:rPr>
      </w:pPr>
      <w:r>
        <w:rPr>
          <w:rFonts w:hint="eastAsia" w:ascii="仿宋" w:hAnsi="仿宋" w:eastAsia="仿宋" w:cs="仿宋"/>
          <w:color w:val="auto"/>
          <w:sz w:val="32"/>
          <w:szCs w:val="32"/>
          <w:lang w:val="en-US" w:eastAsia="zh-CN" w:bidi="ar"/>
        </w:rPr>
        <w:t>事业机构1个，财政全额预算拨款7人</w:t>
      </w:r>
      <w:r>
        <w:rPr>
          <w:rFonts w:hint="eastAsia" w:ascii="仿宋" w:hAnsi="仿宋" w:eastAsia="仿宋" w:cs="仿宋"/>
          <w:color w:val="auto"/>
          <w:sz w:val="32"/>
          <w:szCs w:val="32"/>
          <w:u w:val="none" w:color="FFFFFF"/>
          <w:shd w:val="clear" w:color="auto" w:fill="FFFFFF"/>
          <w:lang w:val="en-US" w:eastAsia="zh-CN" w:bidi="ar"/>
        </w:rPr>
        <w:t>，</w:t>
      </w:r>
      <w:r>
        <w:rPr>
          <w:rFonts w:hint="eastAsia" w:ascii="仿宋" w:hAnsi="仿宋" w:eastAsia="仿宋" w:cs="仿宋"/>
          <w:color w:val="auto"/>
          <w:sz w:val="32"/>
          <w:szCs w:val="32"/>
          <w:lang w:val="en-US" w:eastAsia="zh-CN" w:bidi="ar"/>
        </w:rPr>
        <w:t>其中：在职人员7人。</w:t>
      </w:r>
    </w:p>
    <w:p>
      <w:pPr>
        <w:pStyle w:val="4"/>
        <w:keepNext/>
        <w:keepLines/>
        <w:numPr>
          <w:ilvl w:val="0"/>
          <w:numId w:val="0"/>
        </w:numPr>
        <w:spacing w:before="260" w:beforeLines="0" w:after="260" w:afterLines="0" w:line="576" w:lineRule="exact"/>
        <w:jc w:val="center"/>
        <w:outlineLvl w:val="0"/>
        <w:rPr>
          <w:rFonts w:hint="eastAsia" w:ascii="黑体" w:hAnsi="黑体" w:eastAsia="黑体" w:cs="Times New Roman"/>
          <w:color w:val="auto"/>
          <w:kern w:val="44"/>
          <w:sz w:val="44"/>
          <w:szCs w:val="24"/>
          <w:u w:val="none" w:color="auto"/>
          <w:lang w:val="zh-CN" w:eastAsia="zh-CN"/>
        </w:rPr>
      </w:pPr>
      <w:bookmarkStart w:id="3" w:name="_Toc11207"/>
      <w:r>
        <w:rPr>
          <w:rFonts w:hint="eastAsia" w:ascii="黑体" w:hAnsi="黑体" w:eastAsia="黑体" w:cs="Times New Roman"/>
          <w:color w:val="auto"/>
          <w:kern w:val="44"/>
          <w:sz w:val="44"/>
          <w:szCs w:val="24"/>
          <w:u w:val="none" w:color="auto"/>
          <w:lang w:val="zh-CN" w:eastAsia="zh-CN"/>
        </w:rPr>
        <w:t>第二部分 2022年度单位决算情况说明</w:t>
      </w:r>
      <w:bookmarkEnd w:id="3"/>
    </w:p>
    <w:p>
      <w:pPr>
        <w:pStyle w:val="4"/>
        <w:keepNext/>
        <w:keepLines/>
        <w:pageBreakBefore w:val="0"/>
        <w:widowControl w:val="0"/>
        <w:numPr>
          <w:ilvl w:val="0"/>
          <w:numId w:val="0"/>
        </w:numPr>
        <w:kinsoku/>
        <w:wordWrap/>
        <w:overflowPunct/>
        <w:topLinePunct w:val="0"/>
        <w:autoSpaceDE w:val="0"/>
        <w:autoSpaceDN w:val="0"/>
        <w:bidi w:val="0"/>
        <w:adjustRightInd w:val="0"/>
        <w:snapToGrid/>
        <w:spacing w:beforeLines="0" w:afterLines="0" w:line="360" w:lineRule="auto"/>
        <w:ind w:firstLine="640" w:firstLineChars="200"/>
        <w:jc w:val="both"/>
        <w:textAlignment w:val="auto"/>
        <w:outlineLvl w:val="1"/>
        <w:rPr>
          <w:rFonts w:hint="eastAsia" w:ascii="黑体" w:hAnsi="黑体" w:eastAsia="黑体" w:cs="Times New Roman"/>
          <w:color w:val="auto"/>
          <w:kern w:val="2"/>
          <w:sz w:val="32"/>
          <w:szCs w:val="24"/>
          <w:lang w:val="zh-CN" w:eastAsia="zh-CN"/>
        </w:rPr>
      </w:pPr>
      <w:r>
        <w:rPr>
          <w:rFonts w:hint="eastAsia" w:ascii="黑体" w:hAnsi="黑体" w:eastAsia="黑体" w:cs="Times New Roman"/>
          <w:color w:val="auto"/>
          <w:kern w:val="2"/>
          <w:sz w:val="32"/>
          <w:szCs w:val="24"/>
          <w:lang w:val="zh-CN" w:eastAsia="zh-CN"/>
        </w:rPr>
        <w:t xml:space="preserve"> </w:t>
      </w:r>
      <w:bookmarkStart w:id="4" w:name="_Toc27839"/>
      <w:r>
        <w:rPr>
          <w:rFonts w:hint="eastAsia" w:ascii="黑体" w:hAnsi="黑体" w:eastAsia="黑体" w:cs="Times New Roman"/>
          <w:color w:val="auto"/>
          <w:kern w:val="2"/>
          <w:sz w:val="32"/>
          <w:szCs w:val="24"/>
          <w:lang w:val="zh-CN" w:eastAsia="zh-CN"/>
        </w:rPr>
        <w:t>一、收入支出决算总体情况说明</w:t>
      </w:r>
      <w:bookmarkEnd w:id="4"/>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2022年度收、支总计131.68万元。与2021年相比，收、支</w:t>
      </w:r>
      <w:r>
        <w:rPr>
          <w:rFonts w:hint="eastAsia" w:ascii="仿宋_GB2312" w:hAnsi="仿宋_GB2312" w:eastAsia="仿宋_GB2312"/>
          <w:color w:val="000000"/>
          <w:kern w:val="2"/>
          <w:sz w:val="32"/>
          <w:szCs w:val="24"/>
          <w:u w:val="none" w:color="FFFFFF"/>
          <w:shd w:val="clear" w:color="auto" w:fill="FFFFFF"/>
          <w:lang w:val="zh-CN"/>
        </w:rPr>
        <w:t>总计各</w:t>
      </w:r>
      <w:r>
        <w:rPr>
          <w:rFonts w:hint="eastAsia" w:ascii="仿宋_GB2312" w:hAnsi="仿宋_GB2312" w:eastAsia="仿宋_GB2312"/>
          <w:color w:val="000000"/>
          <w:kern w:val="2"/>
          <w:sz w:val="32"/>
          <w:szCs w:val="24"/>
          <w:lang w:val="zh-CN"/>
        </w:rPr>
        <w:t>增加64.72万元，增长96.6%。主要变动原因是</w:t>
      </w:r>
      <w:r>
        <w:rPr>
          <w:rFonts w:hint="eastAsia" w:ascii="仿宋_GB2312" w:hAnsi="仿宋_GB2312" w:eastAsia="仿宋_GB2312"/>
          <w:color w:val="000000"/>
          <w:kern w:val="2"/>
          <w:sz w:val="32"/>
          <w:szCs w:val="24"/>
          <w:lang w:val="zh-CN" w:eastAsia="zh-CN"/>
        </w:rPr>
        <w:t>人员调整</w:t>
      </w:r>
      <w:r>
        <w:rPr>
          <w:rFonts w:hint="eastAsia" w:ascii="仿宋_GB2312" w:hAnsi="仿宋_GB2312" w:eastAsia="仿宋_GB2312"/>
          <w:color w:val="000000"/>
          <w:kern w:val="2"/>
          <w:sz w:val="32"/>
          <w:szCs w:val="24"/>
          <w:lang w:val="zh-CN"/>
        </w:rPr>
        <w:t>。</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u w:val="none" w:color="FFFFFF"/>
          <w:shd w:val="clear" w:color="auto" w:fill="FFFFFF"/>
          <w:lang w:val="en-US"/>
        </w:rPr>
        <w:t>（图1：收、支决算总计变动柱状图）</w:t>
      </w:r>
    </w:p>
    <w:p>
      <w:pPr>
        <w:pStyle w:val="2"/>
        <w:spacing w:beforeLines="0" w:afterLines="0"/>
        <w:rPr>
          <w:rFonts w:hint="eastAsia" w:ascii="Times New Roman" w:hAnsi="Times New Roman" w:eastAsia="仿宋"/>
          <w:sz w:val="24"/>
          <w:szCs w:val="24"/>
          <w:lang w:val="en-US" w:eastAsia="zh-CN"/>
        </w:rPr>
      </w:pPr>
      <w:r>
        <w:rPr>
          <w:rFonts w:hint="default" w:ascii="Times New Roman" w:hAnsi="Times New Roman" w:eastAsia="仿宋"/>
          <w:sz w:val="24"/>
          <w:szCs w:val="24"/>
          <w:lang w:val="en-US" w:eastAsia="zh-CN"/>
        </w:rPr>
        <w:object>
          <v:shape id="_x0000_i1025" o:spt="75" type="#_x0000_t75" style="height:222.75pt;width:366pt;" o:ole="t" filled="f" o:preferrelative="t" stroked="f" coordsize="21600,21600">
            <v:path/>
            <v:fill on="f" focussize="0,0"/>
            <v:stroke on="f"/>
            <v:imagedata r:id="rId6" o:title=""/>
            <o:lock v:ext="edit" aspectratio="t"/>
            <w10:wrap type="none"/>
            <w10:anchorlock/>
          </v:shape>
          <o:OLEObject Type="Embed" ProgID="Excel.Chart.8" ShapeID="_x0000_i1025" DrawAspect="Content" ObjectID="_1468075725" r:id="rId5">
            <o:LockedField>false</o:LockedField>
          </o:OLEObject>
        </w:objec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5" w:name="_Toc17902"/>
      <w:r>
        <w:rPr>
          <w:rFonts w:hint="eastAsia" w:ascii="黑体" w:hAnsi="黑体" w:eastAsia="黑体"/>
          <w:color w:val="000000"/>
          <w:kern w:val="2"/>
          <w:sz w:val="32"/>
          <w:szCs w:val="24"/>
          <w:lang w:val="zh-CN"/>
        </w:rPr>
        <w:t>二、收</w:t>
      </w:r>
      <w:r>
        <w:rPr>
          <w:rFonts w:hint="eastAsia" w:ascii="黑体" w:hAnsi="黑体" w:eastAsia="黑体"/>
          <w:color w:val="auto"/>
          <w:kern w:val="2"/>
          <w:sz w:val="32"/>
          <w:szCs w:val="24"/>
          <w:lang w:val="zh-CN"/>
        </w:rPr>
        <w:t>入决算情况说明</w:t>
      </w:r>
      <w:bookmarkEnd w:id="5"/>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收入合计131.68万元，其中：一般公共预算财政拨款收入96.9万元，占73.6%；政府性基金预算财政拨款收入0万元，占0%；国有资本经营预算财政拨款收入0万元，占0%；上级补助收入0万元，占0%；事业收入0万元，占0%；经营收入0万元，占0%；附属单位上缴收入0万元，占0%；其他收入34.79万元，占26.4%。</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（图2：收入决算饼状图）</w:t>
      </w:r>
    </w:p>
    <w:p>
      <w:pPr>
        <w:pStyle w:val="2"/>
        <w:spacing w:beforeLines="0" w:afterLines="0"/>
        <w:ind w:firstLine="1200" w:firstLineChars="500"/>
        <w:rPr>
          <w:rFonts w:hint="eastAsia" w:ascii="Times New Roman" w:hAnsi="Times New Roman" w:eastAsia="仿宋"/>
          <w:sz w:val="24"/>
          <w:szCs w:val="24"/>
          <w:lang w:val="en-US" w:eastAsia="zh-CN"/>
        </w:rPr>
      </w:pPr>
      <w:r>
        <w:rPr>
          <w:rFonts w:hint="default" w:ascii="Times New Roman" w:hAnsi="Times New Roman" w:eastAsia="仿宋"/>
          <w:sz w:val="24"/>
          <w:szCs w:val="24"/>
          <w:lang w:val="en-US" w:eastAsia="zh-CN"/>
        </w:rPr>
        <w:object>
          <v:shape id="_x0000_i1026" o:spt="75" type="#_x0000_t75" style="height:182.65pt;width:316.75pt;" o:ole="t" filled="f" o:preferrelative="t" stroked="f" coordsize="21600,21600">
            <v:path/>
            <v:fill on="f" focussize="0,0"/>
            <v:stroke on="f"/>
            <v:imagedata r:id="rId8" o:title=""/>
            <o:lock v:ext="edit" aspectratio="t"/>
            <w10:wrap type="none"/>
            <w10:anchorlock/>
          </v:shape>
          <o:OLEObject Type="Embed" ProgID="Excel.Chart.8" ShapeID="_x0000_i1026" DrawAspect="Content" ObjectID="_1468075726" r:id="rId7">
            <o:LockedField>false</o:LockedField>
          </o:OLEObject>
        </w:object>
      </w:r>
    </w:p>
    <w:p>
      <w:pPr>
        <w:pStyle w:val="2"/>
        <w:spacing w:beforeLines="0" w:afterLines="0"/>
        <w:rPr>
          <w:rFonts w:hint="eastAsia" w:ascii="Times New Roman" w:hAnsi="Times New Roman" w:eastAsia="仿宋"/>
          <w:sz w:val="24"/>
          <w:szCs w:val="24"/>
          <w:lang w:val="en-US" w:eastAsia="zh-CN"/>
        </w:rPr>
      </w:pP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6" w:name="_Toc23247"/>
      <w:r>
        <w:rPr>
          <w:rFonts w:hint="eastAsia" w:ascii="黑体" w:hAnsi="黑体" w:eastAsia="黑体"/>
          <w:color w:val="000000"/>
          <w:kern w:val="2"/>
          <w:sz w:val="32"/>
          <w:szCs w:val="24"/>
          <w:lang w:val="zh-CN"/>
        </w:rPr>
        <w:t>三、支</w:t>
      </w:r>
      <w:r>
        <w:rPr>
          <w:rFonts w:hint="eastAsia" w:ascii="黑体" w:hAnsi="黑体" w:eastAsia="黑体"/>
          <w:color w:val="auto"/>
          <w:kern w:val="2"/>
          <w:sz w:val="32"/>
          <w:szCs w:val="24"/>
          <w:lang w:val="zh-CN"/>
        </w:rPr>
        <w:t>出决算情况说明</w:t>
      </w:r>
      <w:bookmarkEnd w:id="6"/>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2022年本年支出合计131.68万元，其中：基本支出78.42万元，占59.5%；项目支出53.27万元，占40.5%；上缴上级支出0万元，占0%；经营支出0万元，占0%；对附属单位补助支出0万元，占0%。</w:t>
      </w:r>
    </w:p>
    <w:p>
      <w:pPr>
        <w:spacing w:beforeLines="0" w:afterLines="0" w:line="600" w:lineRule="exact"/>
        <w:ind w:firstLine="640"/>
        <w:jc w:val="both"/>
        <w:rPr>
          <w:rFonts w:hint="eastAsia" w:ascii="仿宋" w:hAnsi="仿宋" w:eastAsia="仿宋"/>
          <w:color w:val="auto"/>
          <w:kern w:val="2"/>
          <w:sz w:val="32"/>
          <w:szCs w:val="24"/>
          <w:lang w:val="en-US" w:eastAsia="zh-CN"/>
        </w:rPr>
      </w:pPr>
      <w:r>
        <w:rPr>
          <w:rFonts w:hint="eastAsia" w:ascii="仿宋" w:hAnsi="仿宋" w:eastAsia="仿宋"/>
          <w:color w:val="auto"/>
          <w:kern w:val="2"/>
          <w:sz w:val="32"/>
          <w:szCs w:val="24"/>
          <w:lang w:val="en-US"/>
        </w:rPr>
        <w:t>（图3：支出决算饼状图</w:t>
      </w:r>
      <w:r>
        <w:rPr>
          <w:rFonts w:hint="eastAsia" w:ascii="仿宋" w:hAnsi="仿宋" w:eastAsia="仿宋"/>
          <w:color w:val="auto"/>
          <w:kern w:val="2"/>
          <w:sz w:val="32"/>
          <w:szCs w:val="24"/>
          <w:lang w:val="en-US" w:eastAsia="zh-CN"/>
        </w:rPr>
        <w:t>）</w:t>
      </w:r>
    </w:p>
    <w:p>
      <w:pPr>
        <w:pStyle w:val="2"/>
        <w:spacing w:beforeLines="0" w:afterLines="0"/>
        <w:ind w:firstLine="1280" w:firstLineChars="400"/>
        <w:rPr>
          <w:rFonts w:hint="eastAsia" w:ascii="仿宋" w:hAnsi="仿宋" w:eastAsia="仿宋"/>
          <w:color w:val="auto"/>
          <w:kern w:val="2"/>
          <w:sz w:val="32"/>
          <w:szCs w:val="24"/>
          <w:lang w:val="en-US" w:eastAsia="zh-CN"/>
        </w:rPr>
      </w:pPr>
      <w:r>
        <w:rPr>
          <w:rFonts w:hint="default" w:ascii="仿宋" w:hAnsi="仿宋" w:eastAsia="仿宋"/>
          <w:color w:val="auto"/>
          <w:kern w:val="2"/>
          <w:sz w:val="32"/>
          <w:szCs w:val="24"/>
          <w:lang w:val="en-US" w:eastAsia="zh-CN"/>
        </w:rPr>
        <w:object>
          <v:shape id="_x0000_i1027" o:spt="75" type="#_x0000_t75" style="height:173.9pt;width:301.6pt;" o:ole="t" filled="f" o:preferrelative="t" stroked="f" coordsize="21600,21600">
            <v:path/>
            <v:fill on="f" focussize="0,0"/>
            <v:stroke on="f"/>
            <v:imagedata r:id="rId10" o:title=""/>
            <o:lock v:ext="edit" aspectratio="t"/>
            <w10:wrap type="none"/>
            <w10:anchorlock/>
          </v:shape>
          <o:OLEObject Type="Embed" ProgID="Excel.Chart.8" ShapeID="_x0000_i1027" DrawAspect="Content" ObjectID="_1468075727" r:id="rId9">
            <o:LockedField>false</o:LockedField>
          </o:OLEObject>
        </w:object>
      </w:r>
    </w:p>
    <w:p>
      <w:pPr>
        <w:pStyle w:val="2"/>
        <w:spacing w:beforeLines="0" w:afterLines="0"/>
        <w:rPr>
          <w:rFonts w:hint="eastAsia" w:ascii="仿宋" w:hAnsi="仿宋" w:eastAsia="仿宋"/>
          <w:color w:val="auto"/>
          <w:kern w:val="2"/>
          <w:sz w:val="32"/>
          <w:szCs w:val="24"/>
          <w:lang w:val="en-US"/>
        </w:rPr>
      </w:pP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7" w:name="_Toc7372"/>
      <w:r>
        <w:rPr>
          <w:rFonts w:hint="eastAsia" w:ascii="黑体" w:hAnsi="黑体" w:eastAsia="黑体"/>
          <w:color w:val="000000"/>
          <w:kern w:val="2"/>
          <w:sz w:val="32"/>
          <w:szCs w:val="24"/>
          <w:lang w:val="zh-CN"/>
        </w:rPr>
        <w:t>四、财</w:t>
      </w:r>
      <w:r>
        <w:rPr>
          <w:rFonts w:hint="eastAsia" w:ascii="黑体" w:hAnsi="黑体" w:eastAsia="黑体"/>
          <w:color w:val="auto"/>
          <w:kern w:val="2"/>
          <w:sz w:val="32"/>
          <w:szCs w:val="24"/>
          <w:lang w:val="zh-CN"/>
        </w:rPr>
        <w:t>政拨款收入支出决算总体情况说明</w:t>
      </w:r>
      <w:bookmarkEnd w:id="7"/>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2022年财政拨款</w:t>
      </w:r>
      <w:r>
        <w:rPr>
          <w:rFonts w:hint="eastAsia" w:ascii="仿宋_GB2312" w:hAnsi="仿宋_GB2312" w:eastAsia="仿宋_GB2312"/>
          <w:color w:val="000000"/>
          <w:kern w:val="2"/>
          <w:sz w:val="32"/>
          <w:szCs w:val="24"/>
          <w:u w:val="none" w:color="FFFFFF"/>
          <w:shd w:val="clear" w:color="auto" w:fill="FFFFFF"/>
          <w:lang w:val="zh-CN"/>
        </w:rPr>
        <w:t>收、支</w:t>
      </w:r>
      <w:r>
        <w:rPr>
          <w:rFonts w:hint="eastAsia" w:ascii="仿宋_GB2312" w:hAnsi="仿宋_GB2312" w:eastAsia="仿宋_GB2312"/>
          <w:color w:val="000000"/>
          <w:kern w:val="2"/>
          <w:sz w:val="32"/>
          <w:szCs w:val="24"/>
          <w:lang w:val="zh-CN"/>
        </w:rPr>
        <w:t>总计96.9万元。</w:t>
      </w:r>
      <w:r>
        <w:rPr>
          <w:rFonts w:hint="eastAsia" w:ascii="仿宋_GB2312" w:hAnsi="仿宋_GB2312" w:eastAsia="仿宋_GB2312"/>
          <w:color w:val="000000"/>
          <w:kern w:val="2"/>
          <w:sz w:val="32"/>
          <w:szCs w:val="24"/>
          <w:u w:val="none" w:color="FFFFFF"/>
          <w:shd w:val="clear" w:color="auto" w:fill="FFFFFF"/>
          <w:lang w:val="zh-CN"/>
        </w:rPr>
        <w:t>与2021年相比，财政拨款收、支总计各增加29.93万元，增长44.7%。</w:t>
      </w:r>
      <w:r>
        <w:rPr>
          <w:rFonts w:hint="eastAsia" w:ascii="仿宋_GB2312" w:hAnsi="仿宋_GB2312" w:eastAsia="仿宋_GB2312"/>
          <w:color w:val="000000"/>
          <w:kern w:val="2"/>
          <w:sz w:val="32"/>
          <w:szCs w:val="24"/>
          <w:lang w:val="zh-CN"/>
        </w:rPr>
        <w:t>主要变动原因是人员变动。</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（图4：财政拨款</w:t>
      </w:r>
      <w:r>
        <w:rPr>
          <w:rFonts w:hint="eastAsia" w:ascii="仿宋" w:hAnsi="仿宋" w:eastAsia="仿宋"/>
          <w:color w:val="auto"/>
          <w:kern w:val="2"/>
          <w:sz w:val="32"/>
          <w:szCs w:val="24"/>
          <w:u w:val="none" w:color="FFFFFF"/>
          <w:shd w:val="clear" w:color="auto" w:fill="FFFFFF"/>
          <w:lang w:val="en-US"/>
        </w:rPr>
        <w:t>收、支</w:t>
      </w:r>
      <w:r>
        <w:rPr>
          <w:rFonts w:hint="eastAsia" w:ascii="仿宋" w:hAnsi="仿宋" w:eastAsia="仿宋"/>
          <w:color w:val="auto"/>
          <w:kern w:val="2"/>
          <w:sz w:val="32"/>
          <w:szCs w:val="24"/>
          <w:lang w:val="en-US"/>
        </w:rPr>
        <w:t>决算总计柱状图）</w:t>
      </w:r>
    </w:p>
    <w:p>
      <w:pPr>
        <w:pStyle w:val="2"/>
        <w:spacing w:beforeLines="0" w:afterLines="0"/>
        <w:rPr>
          <w:rFonts w:hint="eastAsia" w:ascii="Times New Roman" w:hAnsi="Times New Roman" w:eastAsia="仿宋"/>
          <w:sz w:val="24"/>
          <w:szCs w:val="24"/>
          <w:lang w:val="en-US" w:eastAsia="zh-CN"/>
        </w:rPr>
      </w:pPr>
      <w:r>
        <w:rPr>
          <w:rFonts w:hint="eastAsia" w:ascii="Times New Roman" w:hAnsi="Times New Roman" w:eastAsia="仿宋"/>
          <w:sz w:val="24"/>
          <w:szCs w:val="24"/>
          <w:lang w:val="en-US" w:eastAsia="zh-CN"/>
        </w:rPr>
        <w:t xml:space="preserve">         </w:t>
      </w:r>
      <w:r>
        <w:rPr>
          <w:rFonts w:hint="default" w:ascii="Times New Roman" w:hAnsi="Times New Roman" w:eastAsia="仿宋"/>
          <w:sz w:val="24"/>
          <w:szCs w:val="24"/>
          <w:lang w:val="en-US" w:eastAsia="zh-CN"/>
        </w:rPr>
        <w:object>
          <v:shape id="_x0000_i1028" o:spt="75" type="#_x0000_t75" style="height:202.7pt;width:333.05pt;" o:ole="t" filled="f" o:preferrelative="t" stroked="f" coordsize="21600,21600">
            <v:path/>
            <v:fill on="f" focussize="0,0"/>
            <v:stroke on="f"/>
            <v:imagedata r:id="rId12" o:title=""/>
            <o:lock v:ext="edit" aspectratio="t"/>
            <w10:wrap type="none"/>
            <w10:anchorlock/>
          </v:shape>
          <o:OLEObject Type="Embed" ProgID="Excel.Chart.8" ShapeID="_x0000_i1028" DrawAspect="Content" ObjectID="_1468075728" r:id="rId11">
            <o:LockedField>false</o:LockedField>
          </o:OLEObject>
        </w:objec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8" w:name="_Toc28451"/>
      <w:r>
        <w:rPr>
          <w:rFonts w:hint="eastAsia" w:ascii="黑体" w:hAnsi="黑体" w:eastAsia="黑体"/>
          <w:color w:val="000000"/>
          <w:kern w:val="2"/>
          <w:sz w:val="32"/>
          <w:szCs w:val="24"/>
          <w:lang w:val="zh-CN"/>
        </w:rPr>
        <w:t>五、</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般公共预算财政拨款支出决算情况说明</w:t>
      </w:r>
      <w:bookmarkEnd w:id="8"/>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（一）一般公共预算财政拨款支出决算总体情况。</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2022年一般公共预算财政拨款支出96.9万元，占本年支出合计的73.6%。与2021年相比，一般公共预算财政拨款支出增加29.93万元，增长44.7%。主要变动原因是人员变动。</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（图5：一般公共预算财政拨款支出决算变动柱状图）</w:t>
      </w:r>
    </w:p>
    <w:p>
      <w:pPr>
        <w:pStyle w:val="2"/>
        <w:rPr>
          <w:rFonts w:hint="eastAsia"/>
          <w:lang w:val="en-US"/>
        </w:rPr>
      </w:pPr>
    </w:p>
    <w:p>
      <w:pPr>
        <w:pStyle w:val="2"/>
        <w:rPr>
          <w:rFonts w:hint="eastAsia"/>
          <w:lang w:val="en-US"/>
        </w:rPr>
      </w:pPr>
      <w:r>
        <w:rPr>
          <w:rFonts w:hint="default" w:ascii="Times New Roman" w:hAnsi="Times New Roman" w:eastAsia="仿宋"/>
          <w:sz w:val="24"/>
          <w:szCs w:val="24"/>
          <w:lang w:val="en-US" w:eastAsia="zh-CN"/>
        </w:rPr>
        <w:object>
          <v:shape id="_x0000_i1033" o:spt="75" type="#_x0000_t75" style="height:227.3pt;width:373.45pt;" o:ole="t" filled="f" o:preferrelative="t" stroked="f" coordsize="21600,21600">
            <v:path/>
            <v:fill on="f" focussize="0,0"/>
            <v:stroke on="f"/>
            <v:imagedata r:id="rId14" o:title=""/>
            <o:lock v:ext="edit" aspectratio="t"/>
            <w10:wrap type="none"/>
            <w10:anchorlock/>
          </v:shape>
          <o:OLEObject Type="Embed" ProgID="Excel.Chart.8" ShapeID="_x0000_i1033" DrawAspect="Content" ObjectID="_1468075729" r:id="rId13">
            <o:LockedField>false</o:LockedField>
          </o:OLEObject>
        </w:object>
      </w:r>
    </w:p>
    <w:p>
      <w:pPr>
        <w:keepNext/>
        <w:keepLines/>
        <w:spacing w:beforeLines="0" w:afterLines="0" w:line="576" w:lineRule="exact"/>
        <w:ind w:firstLine="643"/>
        <w:jc w:val="both"/>
        <w:rPr>
          <w:rFonts w:hint="eastAsia" w:ascii="仿宋_GB2312" w:hAnsi="仿宋_GB2312" w:eastAsia="仿宋_GB2312" w:cs="Times New Roman"/>
          <w:b/>
          <w:color w:val="000000"/>
          <w:kern w:val="2"/>
          <w:sz w:val="32"/>
          <w:szCs w:val="24"/>
          <w:lang w:val="zh-CN"/>
        </w:rPr>
      </w:pPr>
      <w:r>
        <w:rPr>
          <w:rFonts w:hint="eastAsia" w:ascii="Times New Roman" w:hAnsi="Times New Roman" w:eastAsia="仿宋"/>
          <w:sz w:val="24"/>
          <w:szCs w:val="24"/>
          <w:lang w:val="en-US" w:eastAsia="zh-CN"/>
        </w:rPr>
        <w:t xml:space="preserve"> </w:t>
      </w:r>
      <w:r>
        <w:rPr>
          <w:rFonts w:hint="eastAsia" w:ascii="仿宋_GB2312" w:hAnsi="仿宋_GB2312" w:eastAsia="仿宋_GB2312" w:cs="Times New Roman"/>
          <w:b/>
          <w:color w:val="000000"/>
          <w:kern w:val="2"/>
          <w:sz w:val="32"/>
          <w:szCs w:val="24"/>
          <w:lang w:val="zh-CN"/>
        </w:rPr>
        <w:t>（二）一般公共预算财政拨款支出决算结构情况。</w:t>
      </w:r>
    </w:p>
    <w:p>
      <w:pPr>
        <w:keepNext/>
        <w:keepLines/>
        <w:spacing w:beforeLines="0" w:afterLines="0" w:line="576" w:lineRule="exact"/>
        <w:ind w:firstLine="640"/>
        <w:jc w:val="both"/>
        <w:rPr>
          <w:rFonts w:hint="eastAsia" w:ascii="仿宋_GB2312" w:hAnsi="仿宋_GB2312" w:eastAsia="仿宋_GB2312" w:cs="Times New Roman"/>
          <w:color w:val="000000"/>
          <w:kern w:val="2"/>
          <w:sz w:val="32"/>
          <w:szCs w:val="24"/>
          <w:lang w:val="zh-CN"/>
        </w:rPr>
      </w:pPr>
      <w:r>
        <w:rPr>
          <w:rFonts w:hint="eastAsia" w:ascii="仿宋_GB2312" w:hAnsi="仿宋_GB2312" w:eastAsia="仿宋_GB2312" w:cs="Times New Roman"/>
          <w:color w:val="000000"/>
          <w:kern w:val="2"/>
          <w:sz w:val="32"/>
          <w:szCs w:val="24"/>
          <w:lang w:val="zh-CN"/>
        </w:rPr>
        <w:t>2022年一般公共预算财政拨款支出96.9万元，主要用于以下方面</w:t>
      </w:r>
      <w:r>
        <w:rPr>
          <w:rFonts w:hint="eastAsia" w:ascii="仿宋_GB2312" w:hAnsi="仿宋_GB2312" w:eastAsia="仿宋_GB2312" w:cs="Times New Roman"/>
          <w:color w:val="000000"/>
          <w:kern w:val="2"/>
          <w:sz w:val="32"/>
          <w:szCs w:val="24"/>
          <w:u w:val="none" w:color="FFFFFF"/>
          <w:shd w:val="clear" w:color="auto" w:fill="FFFFFF"/>
          <w:lang w:val="zh-CN"/>
        </w:rPr>
        <w:t>：</w:t>
      </w:r>
      <w:r>
        <w:rPr>
          <w:rFonts w:hint="eastAsia" w:ascii="仿宋_GB2312" w:hAnsi="仿宋_GB2312" w:eastAsia="仿宋_GB2312" w:cs="Times New Roman"/>
          <w:color w:val="000000"/>
          <w:kern w:val="2"/>
          <w:sz w:val="32"/>
          <w:szCs w:val="24"/>
          <w:lang w:val="zh-CN"/>
        </w:rPr>
        <w:t>一般公共服务支出0万元，占0%；外交支出0万元，占0%；国防支出0万元，占0%；公共安全支出0万元，占0%；教育支出0万元，占0%；科学技术支出0万元，占0%；文化体育与传媒支出0万元，占0%；社会保障和就业支出9.76万元，占10.1%；卫生健康支出3.58万元，占3.7%；节能环保支出0万元，占0%；城乡社区支出0万元，占0%；农林水支出78.98万元，占81.5%；交通运输支出0万元，占0%；资源</w:t>
      </w:r>
      <w:r>
        <w:rPr>
          <w:rFonts w:hint="eastAsia" w:ascii="仿宋_GB2312" w:hAnsi="仿宋_GB2312" w:eastAsia="仿宋_GB2312" w:cs="Times New Roman"/>
          <w:color w:val="000000"/>
          <w:kern w:val="2"/>
          <w:sz w:val="32"/>
          <w:szCs w:val="24"/>
          <w:u w:val="none" w:color="FFFFFF"/>
          <w:shd w:val="clear" w:color="auto" w:fill="FFFFFF"/>
          <w:lang w:val="zh-CN"/>
        </w:rPr>
        <w:t>勘探</w:t>
      </w:r>
      <w:r>
        <w:rPr>
          <w:rFonts w:hint="eastAsia" w:ascii="仿宋_GB2312" w:hAnsi="仿宋_GB2312" w:eastAsia="仿宋_GB2312" w:cs="Times New Roman"/>
          <w:color w:val="000000"/>
          <w:kern w:val="2"/>
          <w:sz w:val="32"/>
          <w:szCs w:val="24"/>
          <w:lang w:val="zh-CN"/>
        </w:rPr>
        <w:t>工业</w:t>
      </w:r>
      <w:r>
        <w:rPr>
          <w:rFonts w:hint="eastAsia" w:ascii="仿宋_GB2312" w:hAnsi="仿宋_GB2312" w:eastAsia="仿宋_GB2312" w:cs="Times New Roman"/>
          <w:color w:val="000000"/>
          <w:kern w:val="2"/>
          <w:sz w:val="32"/>
          <w:szCs w:val="24"/>
          <w:u w:val="none" w:color="FFFFFF"/>
          <w:shd w:val="clear" w:color="auto" w:fill="FFFFFF"/>
          <w:lang w:val="zh-CN"/>
        </w:rPr>
        <w:t>信息</w:t>
      </w:r>
      <w:r>
        <w:rPr>
          <w:rFonts w:hint="eastAsia" w:ascii="仿宋_GB2312" w:hAnsi="仿宋_GB2312" w:eastAsia="仿宋_GB2312" w:cs="Times New Roman"/>
          <w:color w:val="000000"/>
          <w:kern w:val="2"/>
          <w:sz w:val="32"/>
          <w:szCs w:val="24"/>
          <w:lang w:val="zh-CN"/>
        </w:rPr>
        <w:t>等支出0万元，占0%；商业服务业等支出0万元，占0%；金融支出0万元，占0%；援助其他地区支出0万元，占0%；</w:t>
      </w:r>
      <w:r>
        <w:rPr>
          <w:rFonts w:hint="eastAsia" w:ascii="仿宋_GB2312" w:hAnsi="仿宋_GB2312" w:eastAsia="仿宋_GB2312" w:cs="Times New Roman"/>
          <w:color w:val="000000"/>
          <w:kern w:val="2"/>
          <w:sz w:val="32"/>
          <w:szCs w:val="24"/>
          <w:u w:val="none" w:color="FFFFFF"/>
          <w:shd w:val="clear" w:color="auto" w:fill="FFFFFF"/>
          <w:lang w:val="zh-CN"/>
        </w:rPr>
        <w:t>自然资源海洋气象等支出0万元，占0%；</w:t>
      </w:r>
      <w:r>
        <w:rPr>
          <w:rFonts w:hint="eastAsia" w:ascii="仿宋_GB2312" w:hAnsi="仿宋_GB2312" w:eastAsia="仿宋_GB2312" w:cs="Times New Roman"/>
          <w:color w:val="000000"/>
          <w:kern w:val="2"/>
          <w:sz w:val="32"/>
          <w:szCs w:val="24"/>
          <w:lang w:val="zh-CN"/>
        </w:rPr>
        <w:t>住房保障支出4.58万元，占4.7%；粮油物资储备支出0万元，占0%；国有资本经营预算支出0万元，占0%；灾害防治及应急管理支出0万元，占0%；其他支出0万元，占0%；债务还本支出0万元，占0%；债务付息支出0万元，占0%；抗疫特别国债安排的支出0万元，占0%。</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（图6：一般公共预算财政拨款支出决算结构）（饼状图）</w:t>
      </w:r>
    </w:p>
    <w:p>
      <w:pPr>
        <w:pStyle w:val="2"/>
        <w:spacing w:beforeLines="0" w:afterLines="0"/>
        <w:jc w:val="center"/>
        <w:rPr>
          <w:rFonts w:hint="eastAsia" w:ascii="Times New Roman" w:hAnsi="Times New Roman" w:eastAsia="仿宋"/>
          <w:sz w:val="24"/>
          <w:szCs w:val="24"/>
          <w:u w:val="none" w:color="FFFFFF"/>
          <w:shd w:val="clear" w:color="auto" w:fill="FFFFFF"/>
          <w:lang w:val="en-US" w:eastAsia="zh-CN"/>
        </w:rPr>
      </w:pPr>
      <w:r>
        <w:rPr>
          <w:rFonts w:hint="default" w:ascii="Times New Roman" w:hAnsi="Times New Roman" w:eastAsia="仿宋"/>
          <w:sz w:val="24"/>
          <w:szCs w:val="24"/>
          <w:lang w:val="en-US" w:eastAsia="zh-CN"/>
        </w:rPr>
        <w:object>
          <v:shape id="_x0000_i1030" o:spt="75" type="#_x0000_t75" style="height:222.75pt;width:386.25pt;" o:ole="t" filled="f" o:preferrelative="t" stroked="f" coordsize="21600,21600">
            <v:path/>
            <v:fill on="f" focussize="0,0"/>
            <v:stroke on="f"/>
            <v:imagedata r:id="rId16" o:title=""/>
            <o:lock v:ext="edit" aspectratio="t"/>
            <w10:wrap type="none"/>
            <w10:anchorlock/>
          </v:shape>
          <o:OLEObject Type="Embed" ProgID="Excel.Chart.8" ShapeID="_x0000_i1030" DrawAspect="Content" ObjectID="_1468075730" r:id="rId15">
            <o:LockedField>false</o:LockedField>
          </o:OLEObject>
        </w:object>
      </w:r>
    </w:p>
    <w:p>
      <w:pPr>
        <w:pStyle w:val="2"/>
        <w:spacing w:beforeLines="0" w:afterLines="0"/>
        <w:jc w:val="both"/>
        <w:rPr>
          <w:rFonts w:hint="eastAsia" w:ascii="Times New Roman" w:hAnsi="Times New Roman" w:eastAsia="仿宋"/>
          <w:sz w:val="24"/>
          <w:szCs w:val="24"/>
          <w:lang w:val="en-US" w:eastAsia="zh-CN"/>
        </w:rPr>
      </w:pPr>
    </w:p>
    <w:p>
      <w:pPr>
        <w:pStyle w:val="2"/>
        <w:numPr>
          <w:ilvl w:val="0"/>
          <w:numId w:val="0"/>
        </w:numPr>
        <w:spacing w:beforeLines="0" w:afterLines="0"/>
        <w:jc w:val="both"/>
        <w:rPr>
          <w:rFonts w:hint="eastAsia" w:ascii="仿宋_GB2312" w:hAnsi="仿宋_GB2312" w:eastAsia="仿宋_GB2312" w:cs="Times New Roman"/>
          <w:b/>
          <w:color w:val="000000"/>
          <w:kern w:val="2"/>
          <w:sz w:val="32"/>
          <w:szCs w:val="24"/>
          <w:lang w:val="zh-CN"/>
        </w:rPr>
      </w:pPr>
      <w:r>
        <w:rPr>
          <w:rFonts w:hint="eastAsia" w:ascii="仿宋_GB2312" w:hAnsi="仿宋_GB2312" w:eastAsia="仿宋_GB2312" w:cs="Times New Roman"/>
          <w:b/>
          <w:color w:val="000000"/>
          <w:kern w:val="2"/>
          <w:sz w:val="32"/>
          <w:szCs w:val="24"/>
          <w:lang w:val="en-US" w:eastAsia="zh-CN"/>
        </w:rPr>
        <w:t>(三）</w:t>
      </w:r>
      <w:r>
        <w:rPr>
          <w:rFonts w:hint="eastAsia" w:ascii="仿宋_GB2312" w:hAnsi="仿宋_GB2312" w:eastAsia="仿宋_GB2312" w:cs="Times New Roman"/>
          <w:b/>
          <w:color w:val="000000"/>
          <w:kern w:val="2"/>
          <w:sz w:val="32"/>
          <w:szCs w:val="24"/>
          <w:lang w:val="zh-CN"/>
        </w:rPr>
        <w:t>一般公共预算财政拨款支出决算具体情况。</w:t>
      </w:r>
    </w:p>
    <w:p>
      <w:pPr>
        <w:pStyle w:val="2"/>
        <w:numPr>
          <w:ilvl w:val="0"/>
          <w:numId w:val="0"/>
        </w:numPr>
        <w:spacing w:beforeLines="0" w:afterLines="0"/>
        <w:ind w:firstLine="643" w:firstLineChars="20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2022年一般公共预算支出决算数为96.9万元</w:t>
      </w:r>
      <w:r>
        <w:rPr>
          <w:rFonts w:hint="eastAsia" w:ascii="仿宋_GB2312" w:hAnsi="仿宋_GB2312" w:eastAsia="仿宋_GB2312"/>
          <w:color w:val="000000"/>
          <w:kern w:val="2"/>
          <w:sz w:val="32"/>
          <w:szCs w:val="24"/>
          <w:lang w:val="zh-CN"/>
        </w:rPr>
        <w:t>，</w:t>
      </w:r>
      <w:r>
        <w:rPr>
          <w:rFonts w:hint="eastAsia" w:ascii="仿宋_GB2312" w:hAnsi="仿宋_GB2312" w:eastAsia="仿宋_GB2312"/>
          <w:b/>
          <w:color w:val="000000"/>
          <w:kern w:val="2"/>
          <w:sz w:val="32"/>
          <w:szCs w:val="24"/>
          <w:lang w:val="zh-CN"/>
        </w:rPr>
        <w:t>完成预算100%。其中</w:t>
      </w:r>
      <w:r>
        <w:rPr>
          <w:rFonts w:hint="eastAsia" w:ascii="仿宋_GB2312" w:hAnsi="仿宋_GB2312" w:eastAsia="仿宋_GB2312"/>
          <w:b/>
          <w:color w:val="000000"/>
          <w:kern w:val="2"/>
          <w:sz w:val="32"/>
          <w:szCs w:val="24"/>
          <w:u w:val="none" w:color="FFFFFF"/>
          <w:shd w:val="clear" w:color="auto" w:fill="FFFFFF"/>
          <w:lang w:val="zh-CN"/>
        </w:rPr>
        <w:t>：</w:t>
      </w:r>
    </w:p>
    <w:p>
      <w:pPr>
        <w:pStyle w:val="2"/>
        <w:numPr>
          <w:ilvl w:val="0"/>
          <w:numId w:val="0"/>
        </w:numPr>
        <w:spacing w:beforeLines="0" w:afterLines="0"/>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1.社会保障和就业</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行政事业单位养老支出</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机关事业单位职业年金缴费</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6.11</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w:t>
      </w:r>
    </w:p>
    <w:p>
      <w:pPr>
        <w:pStyle w:val="2"/>
        <w:numPr>
          <w:ilvl w:val="0"/>
          <w:numId w:val="0"/>
        </w:numPr>
        <w:spacing w:beforeLines="0" w:afterLines="0"/>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2</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社会保障和就业</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行政事业单位医疗支出</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机关事业单位职业年金缴费</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3.65</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w:t>
      </w:r>
    </w:p>
    <w:p>
      <w:pPr>
        <w:pStyle w:val="2"/>
        <w:numPr>
          <w:ilvl w:val="0"/>
          <w:numId w:val="0"/>
        </w:numPr>
        <w:spacing w:beforeLines="0" w:afterLines="0"/>
        <w:ind w:firstLine="643" w:firstLineChars="200"/>
        <w:jc w:val="both"/>
        <w:rPr>
          <w:rFonts w:hint="eastAsia" w:ascii="仿宋" w:hAnsi="仿宋" w:eastAsia="仿宋"/>
          <w:color w:val="auto"/>
          <w:kern w:val="2"/>
          <w:sz w:val="32"/>
          <w:szCs w:val="24"/>
          <w:lang w:val="en-US"/>
        </w:rPr>
      </w:pPr>
      <w:r>
        <w:rPr>
          <w:rFonts w:hint="eastAsia" w:ascii="仿宋_GB2312" w:hAnsi="仿宋_GB2312" w:eastAsia="仿宋_GB2312"/>
          <w:b/>
          <w:color w:val="000000"/>
          <w:kern w:val="2"/>
          <w:sz w:val="32"/>
          <w:szCs w:val="24"/>
          <w:lang w:val="en-US" w:eastAsia="zh-CN"/>
        </w:rPr>
        <w:t>3</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卫生健康</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行政事业单位医疗</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事业单位医疗</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3.58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w:t>
      </w:r>
    </w:p>
    <w:p>
      <w:pPr>
        <w:pStyle w:val="2"/>
        <w:numPr>
          <w:ilvl w:val="0"/>
          <w:numId w:val="0"/>
        </w:numPr>
        <w:spacing w:beforeLines="0" w:afterLines="0"/>
        <w:ind w:firstLine="643" w:firstLineChars="200"/>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4</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农林水</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水利</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农村人畜饮水</w:t>
      </w:r>
      <w:r>
        <w:rPr>
          <w:rFonts w:hint="eastAsia" w:ascii="仿宋_GB2312" w:hAnsi="仿宋_GB2312" w:eastAsia="仿宋_GB2312"/>
          <w:b/>
          <w:color w:val="000000"/>
          <w:kern w:val="2"/>
          <w:sz w:val="32"/>
          <w:szCs w:val="24"/>
          <w:lang w:val="en-US"/>
        </w:rPr>
        <w:t>（项）:</w:t>
      </w:r>
      <w:r>
        <w:rPr>
          <w:rFonts w:hint="eastAsia" w:ascii="仿宋_GB2312" w:hAnsi="仿宋_GB2312" w:eastAsia="仿宋_GB2312"/>
          <w:color w:val="000000"/>
          <w:kern w:val="2"/>
          <w:sz w:val="32"/>
          <w:szCs w:val="24"/>
          <w:lang w:val="en-US"/>
        </w:rPr>
        <w:t xml:space="preserve"> </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78.98</w:t>
      </w:r>
      <w:r>
        <w:rPr>
          <w:rFonts w:hint="eastAsia" w:ascii="仿宋" w:hAnsi="仿宋" w:eastAsia="仿宋"/>
          <w:color w:val="auto"/>
          <w:kern w:val="2"/>
          <w:sz w:val="32"/>
          <w:szCs w:val="24"/>
          <w:lang w:val="en-US"/>
        </w:rPr>
        <w:t>万元，完成预算</w:t>
      </w:r>
      <w:r>
        <w:rPr>
          <w:rFonts w:hint="eastAsia" w:ascii="仿宋" w:hAnsi="仿宋" w:eastAsia="仿宋"/>
          <w:color w:val="auto"/>
          <w:kern w:val="2"/>
          <w:sz w:val="32"/>
          <w:szCs w:val="24"/>
          <w:lang w:val="en-US" w:eastAsia="zh-CN"/>
        </w:rPr>
        <w:t>100</w:t>
      </w:r>
      <w:r>
        <w:rPr>
          <w:rFonts w:hint="eastAsia" w:ascii="仿宋" w:hAnsi="仿宋" w:eastAsia="仿宋"/>
          <w:color w:val="auto"/>
          <w:kern w:val="2"/>
          <w:sz w:val="32"/>
          <w:szCs w:val="24"/>
          <w:lang w:val="en-US"/>
        </w:rPr>
        <w:t>%。</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en-US"/>
        </w:rPr>
      </w:pPr>
      <w:r>
        <w:rPr>
          <w:rFonts w:hint="eastAsia" w:ascii="仿宋_GB2312" w:hAnsi="仿宋_GB2312" w:eastAsia="仿宋_GB2312"/>
          <w:b/>
          <w:color w:val="000000"/>
          <w:kern w:val="2"/>
          <w:sz w:val="32"/>
          <w:szCs w:val="24"/>
          <w:lang w:val="en-US" w:eastAsia="zh-CN"/>
        </w:rPr>
        <w:t>5</w:t>
      </w:r>
      <w:r>
        <w:rPr>
          <w:rFonts w:hint="eastAsia" w:ascii="仿宋_GB2312" w:hAnsi="仿宋_GB2312" w:eastAsia="仿宋_GB2312"/>
          <w:b/>
          <w:color w:val="000000"/>
          <w:kern w:val="2"/>
          <w:sz w:val="32"/>
          <w:szCs w:val="24"/>
          <w:lang w:val="en-US"/>
        </w:rPr>
        <w:t>.</w:t>
      </w:r>
      <w:r>
        <w:rPr>
          <w:rFonts w:hint="eastAsia" w:ascii="仿宋_GB2312" w:hAnsi="仿宋_GB2312" w:eastAsia="仿宋_GB2312"/>
          <w:b/>
          <w:color w:val="000000"/>
          <w:kern w:val="2"/>
          <w:sz w:val="32"/>
          <w:szCs w:val="24"/>
          <w:lang w:val="en-US" w:eastAsia="zh-CN"/>
        </w:rPr>
        <w:t>住房保障</w:t>
      </w:r>
      <w:r>
        <w:rPr>
          <w:rFonts w:hint="eastAsia" w:ascii="仿宋_GB2312" w:hAnsi="仿宋_GB2312" w:eastAsia="仿宋_GB2312"/>
          <w:b/>
          <w:color w:val="000000"/>
          <w:kern w:val="2"/>
          <w:sz w:val="32"/>
          <w:szCs w:val="24"/>
          <w:lang w:val="en-US"/>
        </w:rPr>
        <w:t>支出（类）</w:t>
      </w:r>
      <w:r>
        <w:rPr>
          <w:rFonts w:hint="eastAsia" w:ascii="仿宋_GB2312" w:hAnsi="仿宋_GB2312" w:eastAsia="仿宋_GB2312"/>
          <w:b/>
          <w:color w:val="000000"/>
          <w:kern w:val="2"/>
          <w:sz w:val="32"/>
          <w:szCs w:val="24"/>
          <w:lang w:val="en-US" w:eastAsia="zh-CN"/>
        </w:rPr>
        <w:t>住房改革支出</w:t>
      </w:r>
      <w:r>
        <w:rPr>
          <w:rFonts w:hint="eastAsia" w:ascii="仿宋_GB2312" w:hAnsi="仿宋_GB2312" w:eastAsia="仿宋_GB2312"/>
          <w:b/>
          <w:color w:val="000000"/>
          <w:kern w:val="2"/>
          <w:sz w:val="32"/>
          <w:szCs w:val="24"/>
          <w:lang w:val="en-US"/>
        </w:rPr>
        <w:t>（款）</w:t>
      </w:r>
      <w:r>
        <w:rPr>
          <w:rFonts w:hint="eastAsia" w:ascii="仿宋_GB2312" w:hAnsi="仿宋_GB2312" w:eastAsia="仿宋_GB2312"/>
          <w:b/>
          <w:color w:val="000000"/>
          <w:kern w:val="2"/>
          <w:sz w:val="32"/>
          <w:szCs w:val="24"/>
          <w:lang w:val="en-US" w:eastAsia="zh-CN"/>
        </w:rPr>
        <w:t>住房公积金</w:t>
      </w:r>
      <w:r>
        <w:rPr>
          <w:rFonts w:hint="eastAsia" w:ascii="仿宋_GB2312" w:hAnsi="仿宋_GB2312" w:eastAsia="仿宋_GB2312"/>
          <w:b/>
          <w:color w:val="000000"/>
          <w:kern w:val="2"/>
          <w:sz w:val="32"/>
          <w:szCs w:val="24"/>
          <w:lang w:val="en-US"/>
        </w:rPr>
        <w:t>（项）:</w:t>
      </w:r>
      <w:r>
        <w:rPr>
          <w:rFonts w:hint="eastAsia" w:ascii="仿宋" w:hAnsi="仿宋" w:eastAsia="仿宋"/>
          <w:color w:val="auto"/>
          <w:kern w:val="2"/>
          <w:sz w:val="32"/>
          <w:szCs w:val="24"/>
          <w:lang w:val="en-US"/>
        </w:rPr>
        <w:t>支出决算为</w:t>
      </w:r>
      <w:r>
        <w:rPr>
          <w:rFonts w:hint="eastAsia" w:ascii="仿宋" w:hAnsi="仿宋" w:eastAsia="仿宋"/>
          <w:color w:val="auto"/>
          <w:kern w:val="2"/>
          <w:sz w:val="32"/>
          <w:szCs w:val="24"/>
          <w:lang w:val="en-US" w:eastAsia="zh-CN"/>
        </w:rPr>
        <w:t>4.58</w:t>
      </w:r>
      <w:r>
        <w:rPr>
          <w:rFonts w:hint="eastAsia" w:ascii="仿宋" w:hAnsi="仿宋" w:eastAsia="仿宋"/>
          <w:color w:val="auto"/>
          <w:kern w:val="2"/>
          <w:sz w:val="32"/>
          <w:szCs w:val="24"/>
          <w:lang w:val="en-US"/>
        </w:rPr>
        <w:t>万元。</w:t>
      </w:r>
    </w:p>
    <w:p>
      <w:pPr>
        <w:keepNext/>
        <w:keepLines/>
        <w:tabs>
          <w:tab w:val="right" w:pos="8306"/>
        </w:tabs>
        <w:spacing w:beforeLines="0" w:afterLines="0" w:line="576" w:lineRule="exact"/>
        <w:ind w:firstLine="640"/>
        <w:jc w:val="both"/>
        <w:outlineLvl w:val="1"/>
        <w:rPr>
          <w:rFonts w:hint="default" w:ascii="Cambria" w:hAnsi="Cambria" w:eastAsia="Cambria"/>
          <w:b/>
          <w:color w:val="auto"/>
          <w:kern w:val="2"/>
          <w:sz w:val="32"/>
          <w:szCs w:val="24"/>
          <w:lang w:val="zh-CN"/>
        </w:rPr>
      </w:pPr>
      <w:bookmarkStart w:id="9" w:name="_Toc8359"/>
      <w:r>
        <w:rPr>
          <w:rFonts w:hint="eastAsia" w:ascii="黑体" w:hAnsi="黑体" w:eastAsia="黑体"/>
          <w:color w:val="000000"/>
          <w:kern w:val="2"/>
          <w:sz w:val="32"/>
          <w:szCs w:val="24"/>
          <w:u w:val="none" w:color="FFFFFF"/>
          <w:shd w:val="clear" w:color="auto" w:fill="FFFFFF"/>
          <w:lang w:val="zh-CN"/>
        </w:rPr>
        <w:t>六</w:t>
      </w:r>
      <w:r>
        <w:rPr>
          <w:rFonts w:hint="eastAsia" w:ascii="黑体" w:hAnsi="黑体" w:eastAsia="黑体"/>
          <w:b/>
          <w:color w:val="000000"/>
          <w:kern w:val="2"/>
          <w:sz w:val="32"/>
          <w:szCs w:val="24"/>
          <w:u w:val="none" w:color="FFFFFF"/>
          <w:shd w:val="clear" w:color="auto" w:fill="FFFFFF"/>
          <w:lang w:val="zh-CN"/>
        </w:rPr>
        <w:t>、</w:t>
      </w:r>
      <w:r>
        <w:rPr>
          <w:rFonts w:hint="eastAsia" w:ascii="黑体" w:hAnsi="黑体" w:eastAsia="黑体"/>
          <w:b/>
          <w:color w:val="000000"/>
          <w:kern w:val="2"/>
          <w:sz w:val="32"/>
          <w:szCs w:val="24"/>
          <w:lang w:val="zh-CN"/>
        </w:rPr>
        <w:t>一</w:t>
      </w:r>
      <w:r>
        <w:rPr>
          <w:rFonts w:hint="eastAsia" w:ascii="黑体" w:hAnsi="黑体" w:eastAsia="黑体"/>
          <w:color w:val="auto"/>
          <w:kern w:val="2"/>
          <w:sz w:val="32"/>
          <w:szCs w:val="24"/>
          <w:lang w:val="zh-CN"/>
        </w:rPr>
        <w:t>般公共预算财政拨</w:t>
      </w:r>
      <w:r>
        <w:rPr>
          <w:rFonts w:hint="eastAsia" w:ascii="黑体" w:hAnsi="黑体" w:eastAsia="黑体"/>
          <w:color w:val="auto"/>
          <w:kern w:val="2"/>
          <w:sz w:val="32"/>
          <w:szCs w:val="24"/>
          <w:u w:val="none" w:color="FFFFFF"/>
          <w:shd w:val="clear" w:color="auto" w:fill="FFFFFF"/>
          <w:lang w:val="zh-CN"/>
        </w:rPr>
        <w:t>款</w:t>
      </w:r>
      <w:r>
        <w:rPr>
          <w:rFonts w:hint="eastAsia" w:ascii="黑体" w:hAnsi="黑体" w:eastAsia="黑体"/>
          <w:color w:val="auto"/>
          <w:kern w:val="2"/>
          <w:sz w:val="32"/>
          <w:szCs w:val="24"/>
          <w:lang w:val="zh-CN"/>
        </w:rPr>
        <w:t>基本支出决算情况说明</w:t>
      </w:r>
      <w:bookmarkEnd w:id="9"/>
      <w:r>
        <w:rPr>
          <w:rFonts w:hint="eastAsia" w:ascii="黑体" w:hAnsi="黑体" w:eastAsia="黑体"/>
          <w:color w:val="auto"/>
          <w:kern w:val="2"/>
          <w:sz w:val="32"/>
          <w:szCs w:val="24"/>
          <w:lang w:val="zh-CN"/>
        </w:rPr>
        <w:tab/>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2022年一般公共预算财政拨款基本支出76.9万元，其中：</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人员经费</w:t>
      </w:r>
      <w:r>
        <w:rPr>
          <w:rFonts w:hint="eastAsia" w:ascii="仿宋_GB2312" w:hAnsi="仿宋_GB2312" w:eastAsia="仿宋_GB2312"/>
          <w:color w:val="000000"/>
          <w:kern w:val="2"/>
          <w:sz w:val="32"/>
          <w:szCs w:val="24"/>
          <w:lang w:val="zh-CN"/>
        </w:rPr>
        <w:t>70.98万元，主要包括：</w:t>
      </w:r>
      <w:r>
        <w:rPr>
          <w:rFonts w:hint="eastAsia" w:ascii="仿宋" w:hAnsi="仿宋" w:eastAsia="仿宋"/>
          <w:color w:val="auto"/>
          <w:kern w:val="2"/>
          <w:sz w:val="32"/>
          <w:szCs w:val="24"/>
          <w:lang w:val="en-US"/>
        </w:rPr>
        <w:t>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hint="eastAsia" w:ascii="仿宋_GB2312" w:hAnsi="仿宋_GB2312" w:eastAsia="仿宋_GB2312"/>
          <w:color w:val="000000"/>
          <w:kern w:val="2"/>
          <w:sz w:val="32"/>
          <w:szCs w:val="24"/>
          <w:lang w:val="zh-CN"/>
        </w:rPr>
        <w:t>。</w:t>
      </w:r>
    </w:p>
    <w:p>
      <w:pPr>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公用经费</w:t>
      </w:r>
      <w:r>
        <w:rPr>
          <w:rFonts w:hint="eastAsia" w:ascii="仿宋_GB2312" w:hAnsi="仿宋_GB2312" w:eastAsia="仿宋_GB2312"/>
          <w:color w:val="000000"/>
          <w:kern w:val="2"/>
          <w:sz w:val="32"/>
          <w:szCs w:val="24"/>
          <w:lang w:val="zh-CN"/>
        </w:rPr>
        <w:t>5.92万元，主要包括：</w:t>
      </w:r>
      <w:r>
        <w:rPr>
          <w:rFonts w:hint="eastAsia" w:ascii="仿宋" w:hAnsi="仿宋" w:eastAsia="仿宋"/>
          <w:color w:val="auto"/>
          <w:kern w:val="2"/>
          <w:sz w:val="32"/>
          <w:szCs w:val="24"/>
          <w:lang w:val="en-US"/>
        </w:rPr>
        <w:t>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r>
        <w:rPr>
          <w:rFonts w:hint="eastAsia" w:ascii="仿宋_GB2312" w:hAnsi="仿宋_GB2312" w:eastAsia="仿宋_GB2312"/>
          <w:color w:val="000000"/>
          <w:kern w:val="2"/>
          <w:sz w:val="32"/>
          <w:szCs w:val="24"/>
          <w:lang w:val="zh-CN"/>
        </w:rPr>
        <w:t>。</w:t>
      </w:r>
    </w:p>
    <w:p>
      <w:pPr>
        <w:numPr>
          <w:ilvl w:val="0"/>
          <w:numId w:val="2"/>
        </w:numPr>
        <w:spacing w:beforeLines="0" w:afterLines="0" w:line="576" w:lineRule="exact"/>
        <w:ind w:firstLine="643"/>
        <w:jc w:val="both"/>
        <w:outlineLvl w:val="1"/>
        <w:rPr>
          <w:rFonts w:hint="eastAsia" w:ascii="黑体" w:hAnsi="黑体" w:eastAsia="黑体"/>
          <w:color w:val="auto"/>
          <w:kern w:val="2"/>
          <w:sz w:val="32"/>
          <w:szCs w:val="24"/>
          <w:lang w:val="zh-CN"/>
        </w:rPr>
      </w:pPr>
      <w:bookmarkStart w:id="10" w:name="_Toc32308"/>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三公”经费财政拨款支出决算情况说明</w:t>
      </w:r>
      <w:bookmarkEnd w:id="10"/>
    </w:p>
    <w:p>
      <w:pPr>
        <w:numPr>
          <w:ilvl w:val="0"/>
          <w:numId w:val="3"/>
        </w:numPr>
        <w:spacing w:beforeLines="0" w:afterLines="0" w:line="576" w:lineRule="exact"/>
        <w:ind w:firstLine="643" w:firstLineChars="200"/>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“三公”经费财政拨款支出决算总体情况说明</w:t>
      </w:r>
    </w:p>
    <w:p>
      <w:pPr>
        <w:numPr>
          <w:ilvl w:val="0"/>
          <w:numId w:val="0"/>
        </w:numPr>
        <w:spacing w:beforeLines="0" w:afterLines="0" w:line="576" w:lineRule="exact"/>
        <w:ind w:firstLine="640" w:firstLineChars="20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2022年“三公”经费财政拨款支出决算为0.12万元，完成预算100%；较上年</w:t>
      </w:r>
      <w:r>
        <w:rPr>
          <w:rFonts w:hint="eastAsia" w:ascii="仿宋_GB2312" w:hAnsi="仿宋_GB2312" w:eastAsia="仿宋_GB2312"/>
          <w:color w:val="000000"/>
          <w:kern w:val="2"/>
          <w:sz w:val="32"/>
          <w:szCs w:val="24"/>
          <w:lang w:val="en-US" w:eastAsia="zh-CN"/>
        </w:rPr>
        <w:t>减少</w:t>
      </w:r>
      <w:r>
        <w:rPr>
          <w:rFonts w:hint="eastAsia" w:ascii="仿宋_GB2312" w:hAnsi="仿宋_GB2312" w:eastAsia="仿宋_GB2312"/>
          <w:color w:val="000000"/>
          <w:kern w:val="2"/>
          <w:sz w:val="32"/>
          <w:szCs w:val="24"/>
          <w:lang w:val="zh-CN"/>
        </w:rPr>
        <w:t>0.04万元，</w:t>
      </w:r>
      <w:r>
        <w:rPr>
          <w:rFonts w:hint="eastAsia" w:ascii="仿宋_GB2312" w:hAnsi="仿宋_GB2312" w:eastAsia="仿宋_GB2312"/>
          <w:color w:val="000000"/>
          <w:kern w:val="2"/>
          <w:sz w:val="32"/>
          <w:szCs w:val="24"/>
          <w:lang w:val="en-US" w:eastAsia="zh-CN"/>
        </w:rPr>
        <w:t>减少</w:t>
      </w:r>
      <w:r>
        <w:rPr>
          <w:rFonts w:hint="eastAsia" w:ascii="仿宋_GB2312" w:hAnsi="仿宋_GB2312" w:eastAsia="仿宋_GB2312"/>
          <w:color w:val="000000"/>
          <w:kern w:val="2"/>
          <w:sz w:val="32"/>
          <w:szCs w:val="24"/>
          <w:lang w:val="zh-CN"/>
        </w:rPr>
        <w:t>25%。</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u w:val="none" w:color="FFFFFF"/>
          <w:shd w:val="clear" w:color="auto" w:fill="FFFFFF"/>
          <w:lang w:val="zh-CN"/>
        </w:rPr>
        <w:t>（二）</w:t>
      </w:r>
      <w:r>
        <w:rPr>
          <w:rFonts w:hint="eastAsia" w:ascii="仿宋_GB2312" w:hAnsi="仿宋_GB2312" w:eastAsia="仿宋_GB2312"/>
          <w:b/>
          <w:color w:val="000000"/>
          <w:kern w:val="2"/>
          <w:sz w:val="32"/>
          <w:szCs w:val="24"/>
          <w:lang w:val="zh-CN"/>
        </w:rPr>
        <w:t>“三公”经费财政拨款支出决算具体情况说明</w:t>
      </w:r>
    </w:p>
    <w:p>
      <w:pPr>
        <w:keepNext/>
        <w:keepLines/>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2022年“三公”经费财政拨款支出决算中，因公出国（境）费支出决算0万元，占0%；公务用车购置及运行维护费支出决算0万元，占0%；公务接待费支出决算0.12万元，占100%。具体情况如下：</w:t>
      </w:r>
    </w:p>
    <w:p>
      <w:pPr>
        <w:spacing w:beforeLines="0" w:afterLines="0" w:line="600" w:lineRule="exact"/>
        <w:ind w:firstLine="64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（图7：“三公”经费财政拨款支出结构饼状图）</w:t>
      </w:r>
    </w:p>
    <w:p>
      <w:pPr>
        <w:pStyle w:val="2"/>
        <w:spacing w:beforeLines="0" w:afterLines="0"/>
        <w:rPr>
          <w:rFonts w:hint="default" w:ascii="Times New Roman" w:hAnsi="Times New Roman" w:eastAsia="仿宋"/>
          <w:sz w:val="24"/>
          <w:szCs w:val="24"/>
          <w:lang w:val="en-US" w:eastAsia="zh-CN"/>
        </w:rPr>
      </w:pPr>
      <w:r>
        <w:rPr>
          <w:rFonts w:hint="default" w:ascii="Times New Roman" w:hAnsi="Times New Roman" w:eastAsia="仿宋"/>
          <w:sz w:val="24"/>
          <w:szCs w:val="24"/>
          <w:lang w:val="en-US" w:eastAsia="zh-CN"/>
        </w:rPr>
        <w:object>
          <v:shape id="_x0000_i1031" o:spt="75" type="#_x0000_t75" style="height:222.75pt;width:386.25pt;" o:ole="t" filled="f" o:preferrelative="t" stroked="f" coordsize="21600,21600">
            <v:path/>
            <v:fill on="f" focussize="0,0"/>
            <v:stroke on="f"/>
            <v:imagedata r:id="rId18" o:title=""/>
            <o:lock v:ext="edit" aspectratio="t"/>
            <w10:wrap type="none"/>
            <w10:anchorlock/>
          </v:shape>
          <o:OLEObject Type="Embed" ProgID="Excel.Chart.8" ShapeID="_x0000_i1031" DrawAspect="Content" ObjectID="_1468075731" r:id="rId17">
            <o:LockedField>false</o:LockedField>
          </o:OLEObject>
        </w:objec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0" w:afterLines="0"/>
        <w:ind w:firstLine="643" w:firstLineChars="200"/>
        <w:textAlignment w:val="auto"/>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en-US" w:eastAsia="zh-CN"/>
        </w:rPr>
        <w:t>1.</w:t>
      </w:r>
      <w:r>
        <w:rPr>
          <w:rFonts w:hint="eastAsia" w:ascii="仿宋_GB2312" w:hAnsi="仿宋_GB2312" w:eastAsia="仿宋_GB2312"/>
          <w:b/>
          <w:color w:val="000000"/>
          <w:kern w:val="2"/>
          <w:sz w:val="32"/>
          <w:szCs w:val="24"/>
          <w:lang w:val="zh-CN"/>
        </w:rPr>
        <w:t>因公出国（境）经费</w:t>
      </w:r>
      <w:r>
        <w:rPr>
          <w:rFonts w:hint="eastAsia" w:ascii="仿宋_GB2312" w:hAnsi="仿宋_GB2312" w:eastAsia="仿宋_GB2312"/>
          <w:color w:val="000000"/>
          <w:kern w:val="2"/>
          <w:sz w:val="32"/>
          <w:szCs w:val="24"/>
          <w:lang w:val="zh-CN"/>
        </w:rPr>
        <w:t>支出0万元，完成预算0%。全年安排因公出国（境）团组0个，出国（境）0人。因公出国（境）支出决算比2021年增加0万元，增长0%。</w:t>
      </w:r>
    </w:p>
    <w:p>
      <w:pPr>
        <w:pStyle w:val="2"/>
        <w:keepNext w:val="0"/>
        <w:keepLines w:val="0"/>
        <w:pageBreakBefore w:val="0"/>
        <w:widowControl w:val="0"/>
        <w:numPr>
          <w:ilvl w:val="0"/>
          <w:numId w:val="0"/>
        </w:numPr>
        <w:kinsoku/>
        <w:wordWrap/>
        <w:overflowPunct/>
        <w:topLinePunct w:val="0"/>
        <w:autoSpaceDE w:val="0"/>
        <w:autoSpaceDN w:val="0"/>
        <w:bidi w:val="0"/>
        <w:adjustRightInd w:val="0"/>
        <w:snapToGrid/>
        <w:spacing w:beforeLines="0" w:after="0" w:afterLines="0"/>
        <w:ind w:firstLine="643" w:firstLineChars="200"/>
        <w:textAlignment w:val="auto"/>
        <w:rPr>
          <w:rFonts w:hint="eastAsia" w:ascii="仿宋_GB2312" w:hAnsi="仿宋_GB2312" w:eastAsia="仿宋_GB2312" w:cs="Times New Roman"/>
          <w:b/>
          <w:color w:val="000000"/>
          <w:kern w:val="2"/>
          <w:sz w:val="32"/>
          <w:szCs w:val="24"/>
          <w:lang w:val="zh-CN" w:eastAsia="zh-CN"/>
        </w:rPr>
      </w:pPr>
      <w:r>
        <w:rPr>
          <w:rFonts w:hint="eastAsia" w:ascii="仿宋_GB2312" w:hAnsi="仿宋_GB2312" w:eastAsia="仿宋_GB2312" w:cs="Times New Roman"/>
          <w:b/>
          <w:color w:val="000000"/>
          <w:kern w:val="2"/>
          <w:sz w:val="32"/>
          <w:szCs w:val="24"/>
          <w:lang w:val="en-US" w:eastAsia="zh-CN"/>
        </w:rPr>
        <w:t>2.</w:t>
      </w:r>
      <w:r>
        <w:rPr>
          <w:rFonts w:hint="eastAsia" w:ascii="仿宋_GB2312" w:hAnsi="仿宋_GB2312" w:eastAsia="仿宋_GB2312" w:cs="Times New Roman"/>
          <w:b/>
          <w:color w:val="000000"/>
          <w:kern w:val="2"/>
          <w:sz w:val="32"/>
          <w:szCs w:val="24"/>
          <w:lang w:val="zh-CN" w:eastAsia="zh-CN"/>
        </w:rPr>
        <w:t>公务用车购置及运行维护费支出0万元，完成预算0%。公务用车购置及运行维护费支出决算比2021年增加0万元，增长0%。</w:t>
      </w:r>
    </w:p>
    <w:p>
      <w:pPr>
        <w:pStyle w:val="2"/>
        <w:numPr>
          <w:ilvl w:val="0"/>
          <w:numId w:val="0"/>
        </w:numPr>
        <w:spacing w:beforeLines="0" w:afterLines="0"/>
        <w:ind w:firstLine="640" w:firstLineChars="20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其中：</w:t>
      </w:r>
      <w:r>
        <w:rPr>
          <w:rFonts w:hint="eastAsia" w:ascii="仿宋_GB2312" w:hAnsi="仿宋_GB2312" w:eastAsia="仿宋_GB2312"/>
          <w:b/>
          <w:color w:val="000000"/>
          <w:kern w:val="2"/>
          <w:sz w:val="32"/>
          <w:szCs w:val="24"/>
          <w:lang w:val="zh-CN"/>
        </w:rPr>
        <w:t>公务用车购置费</w:t>
      </w:r>
      <w:r>
        <w:rPr>
          <w:rFonts w:hint="eastAsia" w:ascii="仿宋_GB2312" w:hAnsi="仿宋_GB2312" w:eastAsia="仿宋_GB2312"/>
          <w:color w:val="000000"/>
          <w:kern w:val="2"/>
          <w:sz w:val="32"/>
          <w:szCs w:val="24"/>
          <w:lang w:val="zh-CN"/>
        </w:rPr>
        <w:t>支出0万元。</w:t>
      </w:r>
    </w:p>
    <w:p>
      <w:pPr>
        <w:pStyle w:val="2"/>
        <w:numPr>
          <w:ilvl w:val="0"/>
          <w:numId w:val="0"/>
        </w:numPr>
        <w:spacing w:beforeLines="0" w:afterLines="0"/>
        <w:ind w:firstLine="643" w:firstLineChars="200"/>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公务用车运行维护费</w:t>
      </w:r>
      <w:r>
        <w:rPr>
          <w:rFonts w:hint="eastAsia" w:ascii="仿宋_GB2312" w:hAnsi="仿宋_GB2312" w:eastAsia="仿宋_GB2312"/>
          <w:color w:val="000000"/>
          <w:kern w:val="2"/>
          <w:sz w:val="32"/>
          <w:szCs w:val="24"/>
          <w:lang w:val="zh-CN"/>
        </w:rPr>
        <w:t>支出0万元。</w:t>
      </w:r>
    </w:p>
    <w:p>
      <w:pPr>
        <w:pStyle w:val="2"/>
        <w:numPr>
          <w:ilvl w:val="0"/>
          <w:numId w:val="0"/>
        </w:numPr>
        <w:spacing w:beforeLines="0" w:afterLines="0"/>
        <w:ind w:firstLine="643" w:firstLineChars="200"/>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u w:val="none" w:color="FFFFFF"/>
          <w:shd w:val="clear" w:color="auto" w:fill="FFFFFF"/>
          <w:lang w:val="zh-CN"/>
        </w:rPr>
        <w:t>3.</w:t>
      </w:r>
      <w:r>
        <w:rPr>
          <w:rFonts w:hint="eastAsia" w:ascii="仿宋_GB2312" w:hAnsi="仿宋_GB2312" w:eastAsia="仿宋_GB2312"/>
          <w:b/>
          <w:color w:val="000000"/>
          <w:kern w:val="2"/>
          <w:sz w:val="32"/>
          <w:szCs w:val="24"/>
          <w:lang w:val="zh-CN"/>
        </w:rPr>
        <w:t>公务接待费</w:t>
      </w:r>
      <w:r>
        <w:rPr>
          <w:rFonts w:hint="eastAsia" w:ascii="仿宋_GB2312" w:hAnsi="仿宋_GB2312" w:eastAsia="仿宋_GB2312"/>
          <w:color w:val="000000"/>
          <w:kern w:val="2"/>
          <w:sz w:val="32"/>
          <w:szCs w:val="24"/>
          <w:lang w:val="zh-CN"/>
        </w:rPr>
        <w:t>支出0.12万元，完成预算100%。公务接待费支出决算比2021年</w:t>
      </w:r>
      <w:r>
        <w:rPr>
          <w:rFonts w:hint="eastAsia" w:ascii="仿宋_GB2312" w:hAnsi="仿宋_GB2312" w:eastAsia="仿宋_GB2312"/>
          <w:color w:val="000000"/>
          <w:kern w:val="2"/>
          <w:sz w:val="32"/>
          <w:szCs w:val="24"/>
          <w:lang w:val="en-US" w:eastAsia="zh-CN"/>
        </w:rPr>
        <w:t>减少</w:t>
      </w:r>
      <w:r>
        <w:rPr>
          <w:rFonts w:hint="eastAsia" w:ascii="仿宋_GB2312" w:hAnsi="仿宋_GB2312" w:eastAsia="仿宋_GB2312"/>
          <w:color w:val="000000"/>
          <w:kern w:val="2"/>
          <w:sz w:val="32"/>
          <w:szCs w:val="24"/>
          <w:lang w:val="zh-CN"/>
        </w:rPr>
        <w:t>0.04万元，</w:t>
      </w:r>
      <w:r>
        <w:rPr>
          <w:rFonts w:hint="eastAsia" w:ascii="仿宋_GB2312" w:hAnsi="仿宋_GB2312" w:eastAsia="仿宋_GB2312"/>
          <w:color w:val="000000"/>
          <w:kern w:val="2"/>
          <w:sz w:val="32"/>
          <w:szCs w:val="24"/>
          <w:lang w:val="en-US" w:eastAsia="zh-CN"/>
        </w:rPr>
        <w:t>减少</w:t>
      </w:r>
      <w:r>
        <w:rPr>
          <w:rFonts w:hint="eastAsia" w:ascii="仿宋_GB2312" w:hAnsi="仿宋_GB2312" w:eastAsia="仿宋_GB2312"/>
          <w:color w:val="000000"/>
          <w:kern w:val="2"/>
          <w:sz w:val="32"/>
          <w:szCs w:val="24"/>
          <w:lang w:val="zh-CN"/>
        </w:rPr>
        <w:t>25%。主要原因是人员变动。其中：</w:t>
      </w:r>
    </w:p>
    <w:p>
      <w:pPr>
        <w:keepNext/>
        <w:keepLines/>
        <w:spacing w:beforeLines="0" w:afterLines="0" w:line="576" w:lineRule="exact"/>
        <w:ind w:firstLine="643"/>
        <w:jc w:val="both"/>
        <w:rPr>
          <w:rFonts w:hint="eastAsia" w:ascii="仿宋_GB2312" w:hAnsi="仿宋_GB2312" w:eastAsia="仿宋_GB2312"/>
          <w:color w:val="000000"/>
          <w:kern w:val="2"/>
          <w:sz w:val="32"/>
          <w:szCs w:val="24"/>
          <w:lang w:val="en-US"/>
        </w:rPr>
      </w:pPr>
      <w:r>
        <w:rPr>
          <w:rFonts w:hint="eastAsia" w:ascii="仿宋_GB2312" w:hAnsi="仿宋_GB2312" w:eastAsia="仿宋_GB2312"/>
          <w:b/>
          <w:color w:val="000000"/>
          <w:kern w:val="2"/>
          <w:sz w:val="32"/>
          <w:szCs w:val="24"/>
          <w:lang w:val="zh-CN"/>
        </w:rPr>
        <w:t>国内公务接待</w:t>
      </w:r>
      <w:r>
        <w:rPr>
          <w:rFonts w:hint="eastAsia" w:ascii="仿宋_GB2312" w:hAnsi="仿宋_GB2312" w:eastAsia="仿宋_GB2312"/>
          <w:color w:val="000000"/>
          <w:kern w:val="2"/>
          <w:sz w:val="32"/>
          <w:szCs w:val="24"/>
          <w:lang w:val="zh-CN"/>
        </w:rPr>
        <w:t>支出0.12万元。主要用于</w:t>
      </w:r>
      <w:r>
        <w:rPr>
          <w:rFonts w:hint="eastAsia" w:ascii="仿宋_GB2312" w:hAnsi="仿宋_GB2312" w:eastAsia="仿宋_GB2312"/>
          <w:color w:val="000000"/>
          <w:kern w:val="2"/>
          <w:sz w:val="32"/>
          <w:szCs w:val="24"/>
          <w:highlight w:val="white"/>
          <w:lang w:val="en-US"/>
        </w:rPr>
        <w:t>执行公务、开展业务活动开支的交通费、住宿费、用餐费等。</w:t>
      </w:r>
      <w:r>
        <w:rPr>
          <w:rFonts w:hint="eastAsia" w:ascii="仿宋_GB2312" w:hAnsi="仿宋_GB2312" w:eastAsia="仿宋_GB2312"/>
          <w:color w:val="000000"/>
          <w:kern w:val="2"/>
          <w:sz w:val="32"/>
          <w:szCs w:val="24"/>
          <w:lang w:val="zh-CN"/>
        </w:rPr>
        <w:t>国内公务接待3批次，24人次，共计支出0.12万元。</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1" w:name="_Toc3117"/>
      <w:r>
        <w:rPr>
          <w:rFonts w:hint="eastAsia" w:ascii="黑体" w:hAnsi="黑体" w:eastAsia="黑体"/>
          <w:color w:val="000000"/>
          <w:kern w:val="2"/>
          <w:sz w:val="32"/>
          <w:szCs w:val="24"/>
          <w:lang w:val="zh-CN"/>
        </w:rPr>
        <w:t>八、</w:t>
      </w:r>
      <w:r>
        <w:rPr>
          <w:rFonts w:hint="eastAsia" w:ascii="黑体" w:hAnsi="黑体" w:eastAsia="黑体"/>
          <w:color w:val="auto"/>
          <w:kern w:val="2"/>
          <w:sz w:val="32"/>
          <w:szCs w:val="24"/>
          <w:lang w:val="zh-CN"/>
        </w:rPr>
        <w:t>政府性基金预算支出决算情况说明</w:t>
      </w:r>
      <w:bookmarkEnd w:id="11"/>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2022年政府性基金预算拨款支出0万元。</w:t>
      </w:r>
    </w:p>
    <w:p>
      <w:pPr>
        <w:keepNext/>
        <w:keepLines/>
        <w:spacing w:beforeLines="0" w:afterLines="0" w:line="576" w:lineRule="exact"/>
        <w:ind w:firstLine="640"/>
        <w:jc w:val="both"/>
        <w:outlineLvl w:val="1"/>
        <w:rPr>
          <w:rFonts w:hint="eastAsia" w:ascii="黑体" w:hAnsi="黑体" w:eastAsia="黑体"/>
          <w:color w:val="auto"/>
          <w:kern w:val="2"/>
          <w:sz w:val="32"/>
          <w:szCs w:val="24"/>
          <w:lang w:val="zh-CN"/>
        </w:rPr>
      </w:pPr>
      <w:bookmarkStart w:id="12" w:name="_Toc14225"/>
      <w:r>
        <w:rPr>
          <w:rFonts w:hint="eastAsia" w:ascii="黑体" w:hAnsi="黑体" w:eastAsia="黑体"/>
          <w:color w:val="auto"/>
          <w:kern w:val="2"/>
          <w:sz w:val="32"/>
          <w:szCs w:val="24"/>
          <w:lang w:val="zh-CN"/>
        </w:rPr>
        <w:t>九、国有资本经营预算支出决算情况说明</w:t>
      </w:r>
      <w:bookmarkEnd w:id="12"/>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2022年国有资本经营预算拨款支出0万元。</w:t>
      </w:r>
    </w:p>
    <w:p>
      <w:pPr>
        <w:keepNext/>
        <w:keepLines/>
        <w:spacing w:beforeLines="0" w:afterLines="0" w:line="576" w:lineRule="exact"/>
        <w:ind w:firstLine="640"/>
        <w:jc w:val="both"/>
        <w:outlineLvl w:val="1"/>
        <w:rPr>
          <w:rFonts w:hint="eastAsia" w:ascii="黑体" w:hAnsi="黑体" w:eastAsia="黑体"/>
          <w:b/>
          <w:color w:val="auto"/>
          <w:kern w:val="2"/>
          <w:sz w:val="32"/>
          <w:szCs w:val="24"/>
          <w:lang w:val="zh-CN"/>
        </w:rPr>
      </w:pPr>
      <w:bookmarkStart w:id="13" w:name="_Toc6635"/>
      <w:r>
        <w:rPr>
          <w:rFonts w:hint="eastAsia" w:ascii="黑体" w:hAnsi="黑体" w:eastAsia="黑体"/>
          <w:color w:val="000000"/>
          <w:kern w:val="2"/>
          <w:sz w:val="32"/>
          <w:szCs w:val="24"/>
          <w:lang w:val="zh-CN"/>
        </w:rPr>
        <w:t>十</w:t>
      </w:r>
      <w:r>
        <w:rPr>
          <w:rFonts w:hint="eastAsia" w:ascii="黑体" w:hAnsi="黑体" w:eastAsia="黑体"/>
          <w:b/>
          <w:color w:val="auto"/>
          <w:kern w:val="2"/>
          <w:sz w:val="32"/>
          <w:szCs w:val="24"/>
          <w:lang w:val="zh-CN"/>
        </w:rPr>
        <w:t>、</w:t>
      </w:r>
      <w:r>
        <w:rPr>
          <w:rFonts w:hint="eastAsia" w:ascii="黑体" w:hAnsi="黑体" w:eastAsia="黑体"/>
          <w:color w:val="auto"/>
          <w:kern w:val="2"/>
          <w:sz w:val="32"/>
          <w:szCs w:val="24"/>
          <w:lang w:val="zh-CN"/>
        </w:rPr>
        <w:t>其他重要事项的情况说明</w:t>
      </w:r>
      <w:bookmarkEnd w:id="13"/>
    </w:p>
    <w:p>
      <w:pPr>
        <w:keepNext/>
        <w:keepLines/>
        <w:spacing w:beforeLines="0" w:afterLines="0" w:line="576" w:lineRule="exact"/>
        <w:ind w:firstLine="643"/>
        <w:jc w:val="both"/>
        <w:rPr>
          <w:rFonts w:hint="eastAsia" w:ascii="仿宋_GB2312" w:hAnsi="仿宋_GB2312" w:eastAsia="仿宋_GB2312"/>
          <w:color w:val="000000"/>
          <w:kern w:val="2"/>
          <w:sz w:val="32"/>
          <w:szCs w:val="24"/>
          <w:lang w:val="zh-CN"/>
        </w:rPr>
      </w:pPr>
      <w:r>
        <w:rPr>
          <w:rFonts w:hint="eastAsia" w:ascii="仿宋_GB2312" w:hAnsi="仿宋_GB2312" w:eastAsia="仿宋_GB2312"/>
          <w:b/>
          <w:color w:val="000000"/>
          <w:kern w:val="2"/>
          <w:sz w:val="32"/>
          <w:szCs w:val="24"/>
          <w:lang w:val="zh-CN"/>
        </w:rPr>
        <w:t>（一）机关运行经费支出情况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2022年，通江县农村饮水安全工程建设管理局机关运行经费支出0万元。</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（二）政府采购支出情况</w:t>
      </w:r>
    </w:p>
    <w:p>
      <w:pPr>
        <w:spacing w:beforeLines="0" w:afterLines="0" w:line="576" w:lineRule="exact"/>
        <w:ind w:firstLine="640"/>
        <w:jc w:val="both"/>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2022年，通江县农村饮水安全工程建设管理局政府采购支出</w:t>
      </w:r>
      <w:r>
        <w:rPr>
          <w:rFonts w:hint="eastAsia" w:ascii="仿宋_GB2312" w:hAnsi="仿宋_GB2312" w:eastAsia="仿宋_GB2312"/>
          <w:color w:val="000000"/>
          <w:kern w:val="2"/>
          <w:sz w:val="32"/>
          <w:szCs w:val="24"/>
          <w:u w:val="none" w:color="FFFFFF"/>
          <w:shd w:val="clear" w:color="auto" w:fill="FFFFFF"/>
          <w:lang w:val="zh-CN"/>
        </w:rPr>
        <w:t>总额</w:t>
      </w:r>
      <w:r>
        <w:rPr>
          <w:rFonts w:hint="eastAsia" w:ascii="仿宋_GB2312" w:hAnsi="仿宋_GB2312" w:eastAsia="仿宋_GB2312"/>
          <w:color w:val="000000"/>
          <w:kern w:val="2"/>
          <w:sz w:val="32"/>
          <w:szCs w:val="24"/>
          <w:lang w:val="zh-CN"/>
        </w:rPr>
        <w:t>0万元。</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（三）国有资产占</w:t>
      </w:r>
      <w:r>
        <w:rPr>
          <w:rFonts w:hint="eastAsia" w:ascii="仿宋_GB2312" w:hAnsi="仿宋_GB2312" w:eastAsia="仿宋_GB2312"/>
          <w:b/>
          <w:color w:val="000000"/>
          <w:kern w:val="2"/>
          <w:sz w:val="32"/>
          <w:szCs w:val="24"/>
          <w:u w:val="none" w:color="FFFFFF"/>
          <w:shd w:val="clear" w:color="auto" w:fill="FFFFFF"/>
          <w:lang w:val="zh-CN"/>
        </w:rPr>
        <w:t>有</w:t>
      </w:r>
      <w:r>
        <w:rPr>
          <w:rFonts w:hint="eastAsia" w:ascii="仿宋_GB2312" w:hAnsi="仿宋_GB2312" w:eastAsia="仿宋_GB2312"/>
          <w:b/>
          <w:color w:val="000000"/>
          <w:kern w:val="2"/>
          <w:sz w:val="32"/>
          <w:szCs w:val="24"/>
          <w:lang w:val="zh-CN"/>
        </w:rPr>
        <w:t>使用情况</w:t>
      </w:r>
    </w:p>
    <w:p>
      <w:pPr>
        <w:spacing w:beforeLines="0" w:afterLines="0" w:line="576" w:lineRule="exact"/>
        <w:ind w:firstLine="640"/>
        <w:rPr>
          <w:rFonts w:hint="eastAsia" w:ascii="仿宋_GB2312" w:hAnsi="仿宋_GB2312" w:eastAsia="仿宋_GB2312"/>
          <w:color w:val="000000"/>
          <w:kern w:val="2"/>
          <w:sz w:val="32"/>
          <w:szCs w:val="24"/>
          <w:lang w:val="zh-CN"/>
        </w:rPr>
      </w:pPr>
      <w:r>
        <w:rPr>
          <w:rFonts w:hint="eastAsia" w:ascii="仿宋_GB2312" w:hAnsi="仿宋_GB2312" w:eastAsia="仿宋_GB2312"/>
          <w:color w:val="000000"/>
          <w:kern w:val="2"/>
          <w:sz w:val="32"/>
          <w:szCs w:val="24"/>
          <w:lang w:val="zh-CN"/>
        </w:rPr>
        <w:t>截至2022年12月31日，通江县农村饮水安全工程建设管理局共有车辆0辆。</w:t>
      </w:r>
    </w:p>
    <w:p>
      <w:pPr>
        <w:keepNext/>
        <w:keepLines/>
        <w:spacing w:beforeLines="0" w:afterLines="0" w:line="576" w:lineRule="exact"/>
        <w:ind w:firstLine="643"/>
        <w:jc w:val="both"/>
        <w:rPr>
          <w:rFonts w:hint="eastAsia" w:ascii="仿宋_GB2312" w:hAnsi="仿宋_GB2312" w:eastAsia="仿宋_GB2312"/>
          <w:b/>
          <w:color w:val="000000"/>
          <w:kern w:val="2"/>
          <w:sz w:val="32"/>
          <w:szCs w:val="24"/>
          <w:lang w:val="zh-CN"/>
        </w:rPr>
      </w:pPr>
      <w:r>
        <w:rPr>
          <w:rFonts w:hint="eastAsia" w:ascii="仿宋_GB2312" w:hAnsi="仿宋_GB2312" w:eastAsia="仿宋_GB2312"/>
          <w:b/>
          <w:color w:val="000000"/>
          <w:kern w:val="2"/>
          <w:sz w:val="32"/>
          <w:szCs w:val="24"/>
          <w:lang w:val="zh-CN"/>
        </w:rPr>
        <w:t>（四）预算绩效管理情况。</w:t>
      </w:r>
    </w:p>
    <w:p>
      <w:pPr>
        <w:spacing w:beforeLines="0" w:afterLines="0" w:line="576" w:lineRule="exact"/>
        <w:ind w:firstLine="643"/>
        <w:jc w:val="both"/>
        <w:rPr>
          <w:rFonts w:hint="eastAsia" w:ascii="仿宋_GB2312" w:hAnsi="仿宋_GB2312" w:eastAsia="仿宋_GB2312"/>
          <w:color w:val="auto"/>
          <w:kern w:val="2"/>
          <w:sz w:val="32"/>
          <w:szCs w:val="24"/>
          <w:lang w:val="en-US"/>
        </w:rPr>
      </w:pPr>
      <w:r>
        <w:rPr>
          <w:rFonts w:hint="eastAsia" w:ascii="仿宋_GB2312" w:hAnsi="仿宋_GB2312" w:eastAsia="仿宋_GB2312"/>
          <w:color w:val="auto"/>
          <w:kern w:val="2"/>
          <w:sz w:val="32"/>
          <w:szCs w:val="24"/>
          <w:lang w:val="en-US"/>
        </w:rPr>
        <w:t>根据预算绩效管理要求，本单位在202</w:t>
      </w:r>
      <w:r>
        <w:rPr>
          <w:rFonts w:hint="eastAsia" w:ascii="宋体" w:hAnsi="宋体" w:eastAsia="宋体"/>
          <w:color w:val="auto"/>
          <w:kern w:val="2"/>
          <w:sz w:val="32"/>
          <w:szCs w:val="24"/>
          <w:lang w:val="en-US"/>
        </w:rPr>
        <w:t>2</w:t>
      </w:r>
      <w:r>
        <w:rPr>
          <w:rFonts w:hint="eastAsia" w:ascii="仿宋_GB2312" w:hAnsi="仿宋_GB2312" w:eastAsia="仿宋_GB2312"/>
          <w:color w:val="auto"/>
          <w:kern w:val="2"/>
          <w:sz w:val="32"/>
          <w:szCs w:val="24"/>
          <w:lang w:val="en-US"/>
        </w:rPr>
        <w:t>年度预算编制阶段，组织对</w:t>
      </w:r>
      <w:r>
        <w:rPr>
          <w:rFonts w:hint="eastAsia" w:ascii="仿宋_GB2312" w:hAnsi="仿宋_GB2312" w:eastAsia="仿宋_GB2312"/>
          <w:color w:val="auto"/>
          <w:kern w:val="2"/>
          <w:sz w:val="32"/>
          <w:szCs w:val="24"/>
          <w:lang w:val="en-US" w:eastAsia="zh-CN"/>
        </w:rPr>
        <w:t>农村安全饮水</w:t>
      </w:r>
      <w:r>
        <w:rPr>
          <w:rFonts w:hint="eastAsia" w:ascii="仿宋_GB2312" w:hAnsi="仿宋_GB2312" w:eastAsia="仿宋_GB2312"/>
          <w:color w:val="auto"/>
          <w:kern w:val="2"/>
          <w:sz w:val="32"/>
          <w:szCs w:val="24"/>
          <w:lang w:val="en-US"/>
        </w:rPr>
        <w:t>项目等</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lang w:val="en-US"/>
        </w:rPr>
        <w:t>个项目开展了预算事前绩效评估，对</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lang w:val="en-US"/>
        </w:rPr>
        <w:t>个项目编制了绩效目标，预算执行过程中，选取</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lang w:val="en-US"/>
        </w:rPr>
        <w:t>个项目开展绩效监控，组织对</w:t>
      </w:r>
      <w:r>
        <w:rPr>
          <w:rFonts w:hint="eastAsia" w:ascii="仿宋_GB2312" w:hAnsi="仿宋_GB2312" w:eastAsia="仿宋_GB2312"/>
          <w:color w:val="auto"/>
          <w:kern w:val="2"/>
          <w:sz w:val="32"/>
          <w:szCs w:val="24"/>
          <w:lang w:val="en-US" w:eastAsia="zh-CN"/>
        </w:rPr>
        <w:t>0</w:t>
      </w:r>
      <w:r>
        <w:rPr>
          <w:rFonts w:hint="eastAsia" w:ascii="仿宋_GB2312" w:hAnsi="仿宋_GB2312" w:eastAsia="仿宋_GB2312"/>
          <w:color w:val="auto"/>
          <w:kern w:val="2"/>
          <w:sz w:val="32"/>
          <w:szCs w:val="24"/>
          <w:lang w:val="en-US"/>
        </w:rPr>
        <w:t>个项目开展绩效自评，绩效自评表详见第四部分附件。</w:t>
      </w:r>
    </w:p>
    <w:p>
      <w:pPr>
        <w:spacing w:beforeLines="0" w:afterLines="0" w:line="576" w:lineRule="exact"/>
        <w:ind w:firstLine="643"/>
        <w:jc w:val="both"/>
        <w:rPr>
          <w:rFonts w:hint="eastAsia" w:ascii="仿宋_GB2312" w:hAnsi="仿宋_GB2312" w:eastAsia="仿宋_GB2312"/>
          <w:b/>
          <w:color w:val="000000"/>
          <w:kern w:val="2"/>
          <w:sz w:val="32"/>
          <w:szCs w:val="24"/>
          <w:lang w:val="zh-CN"/>
        </w:rPr>
      </w:pPr>
    </w:p>
    <w:p>
      <w:pPr>
        <w:keepNext/>
        <w:keepLines/>
        <w:spacing w:beforeLines="0" w:afterLines="0" w:line="576" w:lineRule="exact"/>
        <w:jc w:val="center"/>
        <w:outlineLvl w:val="0"/>
        <w:rPr>
          <w:rFonts w:hint="eastAsia" w:ascii="黑体" w:hAnsi="黑体" w:eastAsia="黑体"/>
          <w:color w:val="auto"/>
          <w:kern w:val="44"/>
          <w:sz w:val="44"/>
          <w:szCs w:val="24"/>
          <w:lang w:val="zh-CN"/>
        </w:rPr>
      </w:pPr>
      <w:bookmarkStart w:id="14" w:name="_Toc22526"/>
      <w:r>
        <w:rPr>
          <w:rFonts w:hint="eastAsia" w:ascii="黑体" w:hAnsi="黑体" w:eastAsia="黑体"/>
          <w:color w:val="000000"/>
          <w:kern w:val="2"/>
          <w:sz w:val="44"/>
          <w:szCs w:val="24"/>
          <w:lang w:val="zh-CN"/>
        </w:rPr>
        <w:t>第三部</w:t>
      </w:r>
      <w:r>
        <w:rPr>
          <w:rFonts w:hint="eastAsia" w:ascii="黑体" w:hAnsi="黑体" w:eastAsia="黑体"/>
          <w:color w:val="000000"/>
          <w:kern w:val="2"/>
          <w:sz w:val="44"/>
          <w:szCs w:val="24"/>
          <w:u w:val="none" w:color="FFFFFF"/>
          <w:shd w:val="clear" w:color="auto" w:fill="FFFFFF"/>
          <w:lang w:val="zh-CN"/>
        </w:rPr>
        <w:t xml:space="preserve">分 </w:t>
      </w:r>
      <w:r>
        <w:rPr>
          <w:rFonts w:hint="eastAsia" w:ascii="黑体" w:hAnsi="黑体" w:eastAsia="黑体"/>
          <w:color w:val="000000"/>
          <w:kern w:val="2"/>
          <w:sz w:val="44"/>
          <w:szCs w:val="24"/>
          <w:lang w:val="zh-CN"/>
        </w:rPr>
        <w:t>名</w:t>
      </w:r>
      <w:r>
        <w:rPr>
          <w:rFonts w:hint="eastAsia" w:ascii="黑体" w:hAnsi="黑体" w:eastAsia="黑体"/>
          <w:color w:val="auto"/>
          <w:kern w:val="44"/>
          <w:sz w:val="44"/>
          <w:szCs w:val="24"/>
          <w:lang w:val="zh-CN"/>
        </w:rPr>
        <w:t>词解释</w:t>
      </w:r>
      <w:bookmarkEnd w:id="14"/>
    </w:p>
    <w:p>
      <w:pPr>
        <w:pStyle w:val="9"/>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1.财政拨款收入：指单位从同级财政部门取得的财政预算资金。</w:t>
      </w:r>
    </w:p>
    <w:p>
      <w:pPr>
        <w:pStyle w:val="9"/>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2.事业收入：指事业单位开展专业业务活动及辅助活动取得的收入。</w:t>
      </w:r>
    </w:p>
    <w:p>
      <w:pPr>
        <w:pStyle w:val="9"/>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3.年初结转和结余：指以前年度尚未完成、结转到</w:t>
      </w:r>
      <w:r>
        <w:rPr>
          <w:rFonts w:hint="eastAsia" w:ascii="仿宋_GB2312" w:eastAsia="仿宋_GB2312"/>
          <w:color w:val="auto"/>
          <w:sz w:val="32"/>
          <w:szCs w:val="32"/>
          <w:u w:val="none" w:color="FFFFFF"/>
          <w:shd w:val="clear" w:color="auto" w:fill="FFFFFF"/>
        </w:rPr>
        <w:t>本年</w:t>
      </w:r>
      <w:r>
        <w:rPr>
          <w:rFonts w:hint="eastAsia" w:ascii="仿宋_GB2312" w:eastAsia="仿宋_GB2312"/>
          <w:color w:val="auto"/>
          <w:sz w:val="32"/>
          <w:szCs w:val="32"/>
        </w:rPr>
        <w:t xml:space="preserve">按有关规定继续使用的资金。 </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4</w:t>
      </w:r>
      <w:r>
        <w:rPr>
          <w:rFonts w:hint="eastAsia" w:ascii="仿宋_GB2312" w:hAnsi="Times New Roman" w:eastAsia="仿宋_GB2312"/>
          <w:color w:val="auto"/>
          <w:sz w:val="32"/>
          <w:szCs w:val="24"/>
        </w:rPr>
        <w:t>.一般公共服务（类）</w:t>
      </w:r>
      <w:r>
        <w:rPr>
          <w:rFonts w:hint="eastAsia" w:ascii="仿宋_GB2312" w:hAnsi="Times New Roman" w:eastAsia="仿宋_GB2312"/>
          <w:color w:val="auto"/>
          <w:sz w:val="32"/>
          <w:szCs w:val="24"/>
          <w:lang w:val="en-US" w:eastAsia="zh-CN"/>
        </w:rPr>
        <w:t>其他公共服务支出</w:t>
      </w:r>
      <w:r>
        <w:rPr>
          <w:rFonts w:hint="eastAsia" w:ascii="仿宋_GB2312" w:hAnsi="Times New Roman" w:eastAsia="仿宋_GB2312"/>
          <w:color w:val="auto"/>
          <w:sz w:val="32"/>
          <w:szCs w:val="24"/>
        </w:rPr>
        <w:t>（款）</w:t>
      </w:r>
      <w:r>
        <w:rPr>
          <w:rFonts w:hint="eastAsia" w:ascii="仿宋_GB2312" w:hAnsi="Times New Roman" w:eastAsia="仿宋_GB2312"/>
          <w:color w:val="auto"/>
          <w:sz w:val="32"/>
          <w:szCs w:val="24"/>
          <w:lang w:val="en-US" w:eastAsia="zh-CN"/>
        </w:rPr>
        <w:t>其他公共服务支出</w:t>
      </w:r>
      <w:r>
        <w:rPr>
          <w:rFonts w:hint="eastAsia" w:ascii="仿宋_GB2312" w:hAnsi="Times New Roman" w:eastAsia="仿宋_GB2312"/>
          <w:color w:val="auto"/>
          <w:sz w:val="32"/>
          <w:szCs w:val="24"/>
        </w:rPr>
        <w:t>（项）：指</w:t>
      </w:r>
      <w:r>
        <w:rPr>
          <w:rFonts w:hint="eastAsia" w:ascii="仿宋_GB2312" w:hAnsi="Times New Roman" w:eastAsia="仿宋_GB2312"/>
          <w:color w:val="auto"/>
          <w:sz w:val="32"/>
          <w:szCs w:val="24"/>
          <w:lang w:val="en-US" w:eastAsia="zh-CN"/>
        </w:rPr>
        <w:t>其他公共服务支出</w:t>
      </w:r>
      <w:r>
        <w:rPr>
          <w:rFonts w:hint="eastAsia" w:ascii="仿宋_GB2312" w:hAnsi="Times New Roman" w:eastAsia="仿宋_GB2312"/>
          <w:color w:val="auto"/>
          <w:sz w:val="32"/>
          <w:szCs w:val="24"/>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5</w:t>
      </w:r>
      <w:r>
        <w:rPr>
          <w:rFonts w:hint="eastAsia" w:ascii="仿宋_GB2312" w:hAnsi="Times New Roman" w:eastAsia="仿宋_GB2312"/>
          <w:color w:val="auto"/>
          <w:sz w:val="32"/>
          <w:szCs w:val="24"/>
        </w:rPr>
        <w:t>.社会保障和就业（类）</w:t>
      </w:r>
      <w:r>
        <w:rPr>
          <w:rFonts w:hint="eastAsia" w:ascii="仿宋_GB2312" w:hAnsi="Times New Roman" w:eastAsia="仿宋_GB2312"/>
          <w:color w:val="auto"/>
          <w:sz w:val="32"/>
          <w:szCs w:val="24"/>
          <w:lang w:val="en-US" w:eastAsia="zh-CN"/>
        </w:rPr>
        <w:t>行政事业单位养老支出</w:t>
      </w:r>
      <w:r>
        <w:rPr>
          <w:rFonts w:hint="eastAsia" w:ascii="仿宋_GB2312" w:hAnsi="Times New Roman" w:eastAsia="仿宋_GB2312"/>
          <w:color w:val="auto"/>
          <w:sz w:val="32"/>
          <w:szCs w:val="24"/>
        </w:rPr>
        <w:t>（款）</w:t>
      </w:r>
      <w:r>
        <w:rPr>
          <w:rFonts w:hint="eastAsia" w:ascii="仿宋_GB2312" w:hAnsi="Times New Roman" w:eastAsia="仿宋_GB2312"/>
          <w:color w:val="auto"/>
          <w:sz w:val="32"/>
          <w:szCs w:val="24"/>
          <w:lang w:val="en-US" w:eastAsia="zh-CN"/>
        </w:rPr>
        <w:t>机关事业单位养老保险缴费支出</w:t>
      </w:r>
      <w:r>
        <w:rPr>
          <w:rFonts w:hint="eastAsia" w:ascii="仿宋_GB2312" w:hAnsi="Times New Roman" w:eastAsia="仿宋_GB2312"/>
          <w:color w:val="auto"/>
          <w:sz w:val="32"/>
          <w:szCs w:val="24"/>
        </w:rPr>
        <w:t>（项）：指</w:t>
      </w:r>
      <w:r>
        <w:rPr>
          <w:rFonts w:hint="eastAsia" w:ascii="仿宋_GB2312" w:hAnsi="Times New Roman" w:eastAsia="仿宋_GB2312"/>
          <w:color w:val="auto"/>
          <w:sz w:val="32"/>
          <w:szCs w:val="24"/>
          <w:lang w:val="en-US" w:eastAsia="zh-CN"/>
        </w:rPr>
        <w:t>机关事业单位实施养老保险制度单位缴纳的基本养老保险支出</w:t>
      </w:r>
      <w:r>
        <w:rPr>
          <w:rFonts w:hint="eastAsia" w:ascii="仿宋_GB2312" w:hAnsi="Times New Roman" w:eastAsia="仿宋_GB2312"/>
          <w:color w:val="auto"/>
          <w:sz w:val="32"/>
          <w:szCs w:val="24"/>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6</w:t>
      </w:r>
      <w:r>
        <w:rPr>
          <w:rFonts w:hint="eastAsia" w:ascii="仿宋_GB2312" w:hAnsi="Times New Roman" w:eastAsia="仿宋_GB2312"/>
          <w:color w:val="auto"/>
          <w:sz w:val="32"/>
          <w:szCs w:val="24"/>
        </w:rPr>
        <w:t>.</w:t>
      </w:r>
      <w:r>
        <w:rPr>
          <w:rFonts w:hint="eastAsia" w:ascii="仿宋_GB2312" w:hAnsi="Times New Roman" w:eastAsia="仿宋_GB2312"/>
          <w:color w:val="auto"/>
          <w:sz w:val="32"/>
          <w:szCs w:val="24"/>
          <w:lang w:val="en-US" w:eastAsia="zh-CN"/>
        </w:rPr>
        <w:t>卫生健康支出</w:t>
      </w:r>
      <w:r>
        <w:rPr>
          <w:rFonts w:hint="eastAsia" w:ascii="仿宋_GB2312" w:hAnsi="Times New Roman" w:eastAsia="仿宋_GB2312"/>
          <w:color w:val="auto"/>
          <w:sz w:val="32"/>
          <w:szCs w:val="24"/>
        </w:rPr>
        <w:t>（类）</w:t>
      </w:r>
      <w:r>
        <w:rPr>
          <w:rFonts w:hint="eastAsia" w:ascii="仿宋_GB2312" w:hAnsi="Times New Roman" w:eastAsia="仿宋_GB2312"/>
          <w:color w:val="auto"/>
          <w:sz w:val="32"/>
          <w:szCs w:val="24"/>
          <w:lang w:val="en-US" w:eastAsia="zh-CN"/>
        </w:rPr>
        <w:t>事业单位医疗</w:t>
      </w:r>
      <w:r>
        <w:rPr>
          <w:rFonts w:hint="eastAsia" w:ascii="仿宋_GB2312" w:hAnsi="Times New Roman" w:eastAsia="仿宋_GB2312"/>
          <w:color w:val="auto"/>
          <w:sz w:val="32"/>
          <w:szCs w:val="24"/>
        </w:rPr>
        <w:t>（款）</w:t>
      </w:r>
      <w:r>
        <w:rPr>
          <w:rFonts w:hint="eastAsia" w:ascii="仿宋_GB2312" w:hAnsi="Times New Roman" w:eastAsia="仿宋_GB2312"/>
          <w:color w:val="auto"/>
          <w:sz w:val="32"/>
          <w:szCs w:val="24"/>
          <w:lang w:val="en-US" w:eastAsia="zh-CN"/>
        </w:rPr>
        <w:t>事业单位医疗</w:t>
      </w:r>
      <w:r>
        <w:rPr>
          <w:rFonts w:hint="eastAsia" w:ascii="仿宋_GB2312" w:hAnsi="Times New Roman" w:eastAsia="仿宋_GB2312"/>
          <w:color w:val="auto"/>
          <w:sz w:val="32"/>
          <w:szCs w:val="24"/>
        </w:rPr>
        <w:t>（项）：指</w:t>
      </w:r>
      <w:r>
        <w:rPr>
          <w:rFonts w:hint="eastAsia" w:ascii="仿宋_GB2312" w:hAnsi="Times New Roman" w:eastAsia="仿宋_GB2312"/>
          <w:color w:val="auto"/>
          <w:sz w:val="32"/>
          <w:szCs w:val="24"/>
          <w:lang w:val="en-US" w:eastAsia="zh-CN"/>
        </w:rPr>
        <w:t>财政部门安排的事业单位基本医疗保险缴费经费</w:t>
      </w:r>
      <w:r>
        <w:rPr>
          <w:rFonts w:hint="eastAsia" w:ascii="仿宋_GB2312" w:hAnsi="Times New Roman" w:eastAsia="仿宋_GB2312"/>
          <w:color w:val="auto"/>
          <w:sz w:val="32"/>
          <w:szCs w:val="24"/>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7</w:t>
      </w:r>
      <w:r>
        <w:rPr>
          <w:rFonts w:hint="eastAsia" w:ascii="仿宋_GB2312" w:hAnsi="Times New Roman" w:eastAsia="仿宋_GB2312"/>
          <w:color w:val="auto"/>
          <w:sz w:val="32"/>
          <w:szCs w:val="24"/>
        </w:rPr>
        <w:t>.农林水（类）</w:t>
      </w:r>
      <w:r>
        <w:rPr>
          <w:rFonts w:hint="eastAsia" w:ascii="仿宋_GB2312" w:hAnsi="Times New Roman" w:eastAsia="仿宋_GB2312"/>
          <w:color w:val="auto"/>
          <w:sz w:val="32"/>
          <w:szCs w:val="24"/>
          <w:lang w:val="en-US" w:eastAsia="zh-CN"/>
        </w:rPr>
        <w:t>水利</w:t>
      </w:r>
      <w:r>
        <w:rPr>
          <w:rFonts w:hint="eastAsia" w:ascii="仿宋_GB2312" w:hAnsi="Times New Roman" w:eastAsia="仿宋_GB2312"/>
          <w:color w:val="auto"/>
          <w:sz w:val="32"/>
          <w:szCs w:val="24"/>
        </w:rPr>
        <w:t>（款）</w:t>
      </w:r>
      <w:r>
        <w:rPr>
          <w:rFonts w:hint="eastAsia" w:ascii="仿宋_GB2312" w:hAnsi="Times New Roman" w:eastAsia="仿宋_GB2312"/>
          <w:color w:val="auto"/>
          <w:sz w:val="32"/>
          <w:szCs w:val="24"/>
          <w:lang w:val="en-US" w:eastAsia="zh-CN"/>
        </w:rPr>
        <w:t>农村人畜饮水</w:t>
      </w:r>
      <w:r>
        <w:rPr>
          <w:rFonts w:hint="eastAsia" w:ascii="仿宋_GB2312" w:hAnsi="Times New Roman" w:eastAsia="仿宋_GB2312"/>
          <w:color w:val="auto"/>
          <w:sz w:val="32"/>
          <w:szCs w:val="24"/>
        </w:rPr>
        <w:t>（项）：指</w:t>
      </w:r>
      <w:r>
        <w:rPr>
          <w:rFonts w:hint="eastAsia" w:ascii="仿宋_GB2312" w:hAnsi="Times New Roman" w:eastAsia="仿宋_GB2312"/>
          <w:color w:val="auto"/>
          <w:sz w:val="32"/>
          <w:szCs w:val="24"/>
          <w:lang w:val="en-US" w:eastAsia="zh-CN"/>
        </w:rPr>
        <w:t>用于农村人畜饮水工程建设方面支出</w:t>
      </w:r>
      <w:r>
        <w:rPr>
          <w:rFonts w:hint="eastAsia" w:ascii="仿宋_GB2312" w:hAnsi="Times New Roman" w:eastAsia="仿宋_GB2312"/>
          <w:color w:val="auto"/>
          <w:sz w:val="32"/>
          <w:szCs w:val="24"/>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8</w:t>
      </w:r>
      <w:r>
        <w:rPr>
          <w:rFonts w:hint="eastAsia" w:ascii="仿宋_GB2312" w:hAnsi="Times New Roman" w:eastAsia="仿宋_GB2312"/>
          <w:color w:val="auto"/>
          <w:sz w:val="32"/>
          <w:szCs w:val="24"/>
        </w:rPr>
        <w:t>.住房保障（类）</w:t>
      </w:r>
      <w:r>
        <w:rPr>
          <w:rFonts w:hint="eastAsia" w:ascii="仿宋_GB2312" w:hAnsi="Times New Roman" w:eastAsia="仿宋_GB2312"/>
          <w:color w:val="auto"/>
          <w:sz w:val="32"/>
          <w:szCs w:val="24"/>
          <w:lang w:val="en-US" w:eastAsia="zh-CN"/>
        </w:rPr>
        <w:t>住房改革支出</w:t>
      </w:r>
      <w:r>
        <w:rPr>
          <w:rFonts w:hint="eastAsia" w:ascii="仿宋_GB2312" w:hAnsi="Times New Roman" w:eastAsia="仿宋_GB2312"/>
          <w:color w:val="auto"/>
          <w:sz w:val="32"/>
          <w:szCs w:val="24"/>
        </w:rPr>
        <w:t>（款）</w:t>
      </w:r>
      <w:r>
        <w:rPr>
          <w:rFonts w:hint="eastAsia" w:ascii="仿宋_GB2312" w:hAnsi="Times New Roman" w:eastAsia="仿宋_GB2312"/>
          <w:color w:val="auto"/>
          <w:sz w:val="32"/>
          <w:szCs w:val="24"/>
          <w:lang w:val="en-US" w:eastAsia="zh-CN"/>
        </w:rPr>
        <w:t>住房公积金</w:t>
      </w:r>
      <w:r>
        <w:rPr>
          <w:rFonts w:hint="eastAsia" w:ascii="仿宋_GB2312" w:hAnsi="Times New Roman" w:eastAsia="仿宋_GB2312"/>
          <w:color w:val="auto"/>
          <w:sz w:val="32"/>
          <w:szCs w:val="24"/>
        </w:rPr>
        <w:t>（项）：指</w:t>
      </w:r>
      <w:r>
        <w:rPr>
          <w:rFonts w:hint="eastAsia" w:ascii="仿宋_GB2312" w:hAnsi="Times New Roman" w:eastAsia="仿宋_GB2312"/>
          <w:color w:val="auto"/>
          <w:sz w:val="32"/>
          <w:szCs w:val="24"/>
          <w:lang w:val="en-US" w:eastAsia="zh-CN"/>
        </w:rPr>
        <w:t>事业单位按人力资源和社会保障部、财政部规定的基本工资和津贴补贴以及规定比例为职工缴纳的住房公积金</w:t>
      </w:r>
      <w:r>
        <w:rPr>
          <w:rFonts w:hint="eastAsia" w:ascii="仿宋_GB2312" w:hAnsi="Times New Roman" w:eastAsia="仿宋_GB2312"/>
          <w:color w:val="auto"/>
          <w:sz w:val="32"/>
          <w:szCs w:val="24"/>
        </w:rPr>
        <w:t>。</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9</w:t>
      </w:r>
      <w:r>
        <w:rPr>
          <w:rFonts w:hint="eastAsia" w:ascii="仿宋_GB2312" w:hAnsi="Times New Roman" w:eastAsia="仿宋_GB2312"/>
          <w:color w:val="auto"/>
          <w:sz w:val="32"/>
          <w:szCs w:val="24"/>
        </w:rPr>
        <w:t>.基本支出：指为保障机构正常运转、完成日常工作任务而发生的人员支出和公用支出。</w:t>
      </w:r>
    </w:p>
    <w:p>
      <w:pPr>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hAnsi="Times New Roman" w:eastAsia="仿宋_GB2312"/>
          <w:color w:val="auto"/>
          <w:sz w:val="32"/>
          <w:szCs w:val="24"/>
        </w:rPr>
      </w:pPr>
      <w:r>
        <w:rPr>
          <w:rFonts w:hint="eastAsia" w:ascii="仿宋_GB2312" w:hAnsi="Times New Roman" w:eastAsia="仿宋_GB2312"/>
          <w:color w:val="auto"/>
          <w:sz w:val="32"/>
          <w:szCs w:val="24"/>
          <w:lang w:val="en-US" w:eastAsia="zh-CN"/>
        </w:rPr>
        <w:t>10</w:t>
      </w:r>
      <w:r>
        <w:rPr>
          <w:rFonts w:hint="eastAsia" w:ascii="仿宋_GB2312" w:hAnsi="Times New Roman" w:eastAsia="仿宋_GB2312"/>
          <w:color w:val="auto"/>
          <w:sz w:val="32"/>
          <w:szCs w:val="24"/>
        </w:rPr>
        <w:t>.项目支出：指在基本支出之</w:t>
      </w:r>
      <w:r>
        <w:rPr>
          <w:rFonts w:hint="eastAsia" w:ascii="仿宋_GB2312" w:hAnsi="Times New Roman" w:eastAsia="仿宋_GB2312"/>
          <w:color w:val="auto"/>
          <w:sz w:val="32"/>
          <w:szCs w:val="24"/>
          <w:u w:val="none" w:color="FFFFFF"/>
          <w:shd w:val="clear" w:color="auto" w:fill="FFFFFF"/>
        </w:rPr>
        <w:t>外</w:t>
      </w:r>
      <w:r>
        <w:rPr>
          <w:rFonts w:hint="eastAsia" w:ascii="仿宋_GB2312" w:hAnsi="Times New Roman" w:eastAsia="仿宋_GB2312"/>
          <w:color w:val="auto"/>
          <w:sz w:val="32"/>
          <w:szCs w:val="24"/>
        </w:rPr>
        <w:t xml:space="preserve">为完成特定行政任务和事业发展目标所发生的支出。 </w:t>
      </w:r>
    </w:p>
    <w:p>
      <w:pPr>
        <w:pStyle w:val="9"/>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11.“三公”经费：指单位用财政拨款安排的因公出国（境）费、公务用车购置及运行费和公务接待费。</w:t>
      </w:r>
      <w:r>
        <w:rPr>
          <w:rFonts w:hint="eastAsia" w:ascii="仿宋_GB2312" w:eastAsia="仿宋_GB2312"/>
          <w:color w:val="auto"/>
          <w:sz w:val="32"/>
          <w:szCs w:val="32"/>
          <w:u w:val="none" w:color="FFFFFF"/>
          <w:shd w:val="clear" w:color="auto" w:fill="FFFFFF"/>
        </w:rPr>
        <w:t>其中，因公出国（境）费反映单位公务出国（境）的国际旅费、国外城市间交通费、住宿费、伙食费、培训费、公杂费等支出；</w:t>
      </w:r>
      <w:r>
        <w:rPr>
          <w:rFonts w:hint="eastAsia" w:ascii="仿宋_GB2312" w:eastAsia="仿宋_GB2312"/>
          <w:color w:val="auto"/>
          <w:sz w:val="32"/>
          <w:szCs w:val="32"/>
        </w:rPr>
        <w:t>公务用车购置及运行费反映单位公务用车车辆购置支出（含车辆购置税）及租用费、燃料费、维修费、过路过桥费、保险费等支出；公务接待费反映单位按规定开支的各类公务接待（含外宾接待）支出。</w:t>
      </w:r>
    </w:p>
    <w:p>
      <w:pPr>
        <w:pStyle w:val="9"/>
        <w:keepNext w:val="0"/>
        <w:keepLines w:val="0"/>
        <w:pageBreakBefore w:val="0"/>
        <w:widowControl w:val="0"/>
        <w:kinsoku/>
        <w:wordWrap/>
        <w:overflowPunct/>
        <w:topLinePunct w:val="0"/>
        <w:autoSpaceDE w:val="0"/>
        <w:autoSpaceDN w:val="0"/>
        <w:bidi w:val="0"/>
        <w:adjustRightInd w:val="0"/>
        <w:snapToGrid/>
        <w:spacing w:beforeLines="0" w:afterLines="0" w:line="560" w:lineRule="exact"/>
        <w:ind w:firstLine="640" w:firstLineChars="200"/>
        <w:textAlignment w:val="auto"/>
        <w:rPr>
          <w:rFonts w:hint="eastAsia" w:ascii="仿宋_GB2312" w:eastAsia="仿宋_GB2312"/>
          <w:color w:val="auto"/>
          <w:sz w:val="32"/>
          <w:szCs w:val="32"/>
        </w:rPr>
      </w:pPr>
      <w:r>
        <w:rPr>
          <w:rFonts w:hint="eastAsia" w:ascii="仿宋_GB2312" w:eastAsia="仿宋_GB2312"/>
          <w:color w:val="auto"/>
          <w:sz w:val="32"/>
          <w:szCs w:val="32"/>
        </w:rPr>
        <w:t>12.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beforeLines="0" w:afterLines="0" w:line="600" w:lineRule="exact"/>
        <w:jc w:val="center"/>
        <w:outlineLvl w:val="9"/>
        <w:rPr>
          <w:rFonts w:hint="eastAsia" w:ascii="黑体" w:hAnsi="黑体" w:eastAsia="黑体"/>
          <w:color w:val="auto"/>
          <w:sz w:val="44"/>
          <w:szCs w:val="24"/>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p>
    <w:p>
      <w:pPr>
        <w:spacing w:beforeLines="0" w:afterLines="0" w:line="600" w:lineRule="exact"/>
        <w:ind w:firstLine="2640" w:firstLineChars="600"/>
        <w:jc w:val="both"/>
        <w:outlineLvl w:val="0"/>
        <w:rPr>
          <w:rFonts w:hint="eastAsia" w:ascii="黑体" w:hAnsi="黑体" w:eastAsia="黑体"/>
          <w:color w:val="auto"/>
          <w:kern w:val="2"/>
          <w:sz w:val="44"/>
          <w:szCs w:val="24"/>
          <w:lang w:val="en-US"/>
        </w:rPr>
      </w:pPr>
      <w:bookmarkStart w:id="15" w:name="_Toc30289"/>
    </w:p>
    <w:p>
      <w:pPr>
        <w:spacing w:beforeLines="0" w:afterLines="0" w:line="600" w:lineRule="exact"/>
        <w:ind w:firstLine="2640" w:firstLineChars="600"/>
        <w:jc w:val="both"/>
        <w:outlineLvl w:val="0"/>
        <w:rPr>
          <w:rFonts w:hint="eastAsia" w:ascii="黑体" w:hAnsi="黑体" w:eastAsia="黑体"/>
          <w:color w:val="auto"/>
          <w:kern w:val="44"/>
          <w:sz w:val="44"/>
          <w:szCs w:val="24"/>
          <w:lang w:val="en-US"/>
        </w:rPr>
      </w:pPr>
      <w:r>
        <w:rPr>
          <w:rFonts w:hint="eastAsia" w:ascii="黑体" w:hAnsi="黑体" w:eastAsia="黑体"/>
          <w:color w:val="auto"/>
          <w:kern w:val="2"/>
          <w:sz w:val="44"/>
          <w:szCs w:val="24"/>
          <w:lang w:val="en-US"/>
        </w:rPr>
        <w:t>第</w:t>
      </w:r>
      <w:r>
        <w:rPr>
          <w:rFonts w:hint="eastAsia" w:ascii="黑体" w:hAnsi="黑体" w:eastAsia="黑体"/>
          <w:color w:val="auto"/>
          <w:kern w:val="44"/>
          <w:sz w:val="44"/>
          <w:szCs w:val="24"/>
          <w:lang w:val="en-US"/>
        </w:rPr>
        <w:t>四</w:t>
      </w:r>
      <w:r>
        <w:rPr>
          <w:rFonts w:hint="eastAsia" w:ascii="黑体" w:hAnsi="黑体" w:eastAsia="黑体"/>
          <w:color w:val="auto"/>
          <w:kern w:val="44"/>
          <w:sz w:val="44"/>
          <w:szCs w:val="24"/>
          <w:u w:val="none" w:color="FFFFFF"/>
          <w:shd w:val="clear" w:color="auto" w:fill="FFFFFF"/>
          <w:lang w:val="en-US"/>
        </w:rPr>
        <w:t xml:space="preserve">部分 </w:t>
      </w:r>
      <w:r>
        <w:rPr>
          <w:rFonts w:hint="eastAsia" w:ascii="黑体" w:hAnsi="黑体" w:eastAsia="黑体"/>
          <w:color w:val="auto"/>
          <w:kern w:val="44"/>
          <w:sz w:val="44"/>
          <w:szCs w:val="24"/>
          <w:lang w:val="en-US"/>
        </w:rPr>
        <w:t>附件</w:t>
      </w:r>
      <w:bookmarkEnd w:id="15"/>
    </w:p>
    <w:p>
      <w:pPr>
        <w:keepNext/>
        <w:keepLines/>
        <w:spacing w:beforeLines="0" w:afterLines="0" w:line="572" w:lineRule="exact"/>
        <w:rPr>
          <w:rFonts w:hint="eastAsia" w:ascii="仿宋_GB2312" w:hAnsi="仿宋_GB2312" w:eastAsia="仿宋_GB2312"/>
          <w:color w:val="auto"/>
          <w:kern w:val="2"/>
          <w:sz w:val="32"/>
          <w:szCs w:val="24"/>
          <w:lang w:val="en-US"/>
        </w:rPr>
      </w:pPr>
    </w:p>
    <w:p>
      <w:pPr>
        <w:spacing w:beforeLines="0" w:afterLines="0" w:line="600" w:lineRule="exact"/>
        <w:jc w:val="center"/>
        <w:rPr>
          <w:rFonts w:hint="eastAsia" w:ascii="宋体" w:hAnsi="宋体" w:eastAsia="宋体"/>
          <w:color w:val="auto"/>
          <w:sz w:val="32"/>
          <w:szCs w:val="24"/>
          <w:lang w:val="en-US"/>
        </w:rPr>
      </w:pPr>
      <w:r>
        <w:rPr>
          <w:rFonts w:hint="eastAsia" w:ascii="宋体" w:hAnsi="宋体" w:eastAsia="宋体"/>
          <w:color w:val="auto"/>
          <w:sz w:val="32"/>
          <w:szCs w:val="24"/>
          <w:lang w:val="en-US"/>
        </w:rPr>
        <w:t>部门预算项目支出绩效自评表（2022年度）</w:t>
      </w:r>
    </w:p>
    <w:tbl>
      <w:tblPr>
        <w:tblStyle w:val="7"/>
        <w:tblW w:w="0" w:type="auto"/>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64"/>
        <w:gridCol w:w="686"/>
        <w:gridCol w:w="772"/>
        <w:gridCol w:w="1320"/>
        <w:gridCol w:w="447"/>
        <w:gridCol w:w="517"/>
        <w:gridCol w:w="799"/>
        <w:gridCol w:w="901"/>
        <w:gridCol w:w="491"/>
        <w:gridCol w:w="407"/>
        <w:gridCol w:w="17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4"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bCs/>
                <w:i w:val="0"/>
                <w:iCs w:val="0"/>
                <w:color w:val="000000"/>
                <w:sz w:val="30"/>
                <w:szCs w:val="30"/>
                <w:u w:val="none"/>
              </w:rPr>
            </w:pPr>
            <w:r>
              <w:rPr>
                <w:rFonts w:hint="eastAsia" w:ascii="黑体" w:hAnsi="宋体" w:eastAsia="黑体" w:cs="黑体"/>
                <w:b/>
                <w:bCs/>
                <w:i w:val="0"/>
                <w:iCs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51192122Y000006076867-安全饮水工作经费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2"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color="FFFFFF"/>
                <w:shd w:val="clear" w:color="auto" w:fill="FFFFFF"/>
                <w:lang w:val="en-US" w:eastAsia="zh-CN" w:bidi="ar"/>
              </w:rPr>
              <w:t>通江县水利局部门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通江县农村饮水安全工程建设管理局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1.对全</w:t>
            </w:r>
            <w:r>
              <w:rPr>
                <w:rFonts w:hint="default" w:ascii="宋体" w:hAnsi="宋体" w:eastAsia="宋体" w:cs="宋体"/>
                <w:i w:val="0"/>
                <w:iCs w:val="0"/>
                <w:color w:val="000000"/>
                <w:kern w:val="0"/>
                <w:sz w:val="18"/>
                <w:szCs w:val="18"/>
                <w:u w:val="none" w:color="FFFFFF"/>
                <w:shd w:val="clear" w:color="auto" w:fill="FFFFFF"/>
                <w:lang w:val="en-US" w:eastAsia="zh-CN" w:bidi="ar"/>
              </w:rPr>
              <w:t>县农村饮水安全工程建设查漏补缺、对标补短、巩固提升计划；2.加强</w:t>
            </w:r>
            <w:r>
              <w:rPr>
                <w:rFonts w:hint="default" w:ascii="宋体" w:hAnsi="宋体" w:eastAsia="宋体" w:cs="宋体"/>
                <w:i w:val="0"/>
                <w:iCs w:val="0"/>
                <w:color w:val="000000"/>
                <w:kern w:val="0"/>
                <w:sz w:val="18"/>
                <w:szCs w:val="18"/>
                <w:u w:val="none"/>
                <w:lang w:val="en-US" w:eastAsia="zh-CN" w:bidi="ar"/>
              </w:rPr>
              <w:t>农村饮水安全服务体系建设；3.保障农村饮水工程建设和运行管理、日常维修</w:t>
            </w:r>
            <w:r>
              <w:rPr>
                <w:rFonts w:hint="default" w:ascii="宋体" w:hAnsi="宋体" w:eastAsia="宋体" w:cs="宋体"/>
                <w:i w:val="0"/>
                <w:iCs w:val="0"/>
                <w:color w:val="000000"/>
                <w:kern w:val="0"/>
                <w:sz w:val="18"/>
                <w:szCs w:val="18"/>
                <w:u w:val="none" w:color="FFFFFF"/>
                <w:shd w:val="clear" w:color="auto" w:fill="FFFFFF"/>
                <w:lang w:val="en-US" w:eastAsia="zh-CN" w:bidi="ar"/>
              </w:rPr>
              <w:t>养护</w:t>
            </w:r>
            <w:r>
              <w:rPr>
                <w:rFonts w:hint="default" w:ascii="宋体" w:hAnsi="宋体" w:eastAsia="宋体" w:cs="宋体"/>
                <w:i w:val="0"/>
                <w:iCs w:val="0"/>
                <w:color w:val="000000"/>
                <w:kern w:val="0"/>
                <w:sz w:val="18"/>
                <w:szCs w:val="18"/>
                <w:u w:val="none"/>
                <w:lang w:val="en-US" w:eastAsia="zh-CN" w:bidi="ar"/>
              </w:rPr>
              <w:t>技术服务；4.开展水源保护日常巡查和水质检测业务指导。</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对照年度目标，说明相关任务目标的完成情况（100字以内）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调整</w:t>
            </w:r>
            <w:r>
              <w:rPr>
                <w:rFonts w:hint="default" w:ascii="宋体" w:hAnsi="宋体" w:eastAsia="宋体" w:cs="宋体"/>
                <w:i w:val="0"/>
                <w:iCs w:val="0"/>
                <w:color w:val="000000"/>
                <w:kern w:val="0"/>
                <w:sz w:val="18"/>
                <w:szCs w:val="18"/>
                <w:u w:val="none" w:color="FFFFFF"/>
                <w:shd w:val="clear" w:color="auto" w:fill="FFFFFF"/>
                <w:lang w:val="en-US" w:eastAsia="zh-CN" w:bidi="ar"/>
              </w:rPr>
              <w:t>后</w:t>
            </w:r>
            <w:r>
              <w:rPr>
                <w:rFonts w:hint="default" w:ascii="宋体" w:hAnsi="宋体" w:eastAsia="宋体" w:cs="宋体"/>
                <w:i w:val="0"/>
                <w:iCs w:val="0"/>
                <w:color w:val="000000"/>
                <w:kern w:val="0"/>
                <w:sz w:val="18"/>
                <w:szCs w:val="18"/>
                <w:u w:val="none"/>
                <w:lang w:val="en-US" w:eastAsia="zh-CN" w:bidi="ar"/>
              </w:rPr>
              <w:t>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8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iCs/>
                <w:color w:val="000000"/>
                <w:sz w:val="18"/>
                <w:szCs w:val="18"/>
                <w:u w:val="none"/>
              </w:rPr>
            </w:pPr>
            <w:r>
              <w:rPr>
                <w:rFonts w:hint="eastAsia" w:ascii="黑体" w:hAnsi="黑体" w:eastAsia="黑体" w:cs="黑体"/>
                <w:i/>
                <w:iCs/>
                <w:color w:val="000000"/>
                <w:kern w:val="0"/>
                <w:sz w:val="18"/>
                <w:szCs w:val="18"/>
                <w:u w:val="none"/>
                <w:lang w:val="en-US" w:eastAsia="zh-CN" w:bidi="ar"/>
              </w:rPr>
              <w:t>1.预算执行率=预算执行数/调整后预算数，预算执行率未达到90%的需说明原因（100字以内）;2.年中发生预算调整的（追加或调减）,应单独说明理由；3.其他资</w:t>
            </w:r>
            <w:r>
              <w:rPr>
                <w:rFonts w:hint="eastAsia" w:ascii="黑体" w:hAnsi="黑体" w:eastAsia="黑体" w:cs="黑体"/>
                <w:i/>
                <w:iCs/>
                <w:color w:val="000000"/>
                <w:kern w:val="0"/>
                <w:sz w:val="18"/>
                <w:szCs w:val="18"/>
                <w:u w:val="none" w:color="FFFFFF"/>
                <w:shd w:val="clear" w:color="auto" w:fill="FFFFFF"/>
                <w:lang w:val="en-US" w:eastAsia="zh-CN" w:bidi="ar"/>
              </w:rPr>
              <w:t>金</w:t>
            </w:r>
            <w:r>
              <w:rPr>
                <w:rFonts w:hint="eastAsia" w:ascii="黑体" w:hAnsi="黑体" w:eastAsia="黑体" w:cs="黑体"/>
                <w:i/>
                <w:iCs/>
                <w:color w:val="000000"/>
                <w:kern w:val="0"/>
                <w:sz w:val="18"/>
                <w:szCs w:val="18"/>
                <w:u w:val="none"/>
                <w:lang w:val="en-US" w:eastAsia="zh-CN" w:bidi="ar"/>
              </w:rPr>
              <w:t>包括：社会投入资金、银行贷款</w:t>
            </w:r>
            <w:r>
              <w:rPr>
                <w:rFonts w:hint="eastAsia" w:ascii="黑体" w:hAnsi="黑体" w:eastAsia="黑体" w:cs="黑体"/>
                <w:i/>
                <w:iCs/>
                <w:color w:val="000000"/>
                <w:kern w:val="0"/>
                <w:sz w:val="18"/>
                <w:szCs w:val="18"/>
                <w:u w:val="none" w:color="FFFFFF"/>
                <w:shd w:val="clear" w:color="auto" w:fill="FFFFFF"/>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20.00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7"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79"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黑体" w:hAnsi="黑体" w:eastAsia="黑体" w:cs="黑体"/>
                <w:i/>
                <w:iCs/>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color="FFFFFF"/>
                <w:shd w:val="clear" w:color="auto" w:fill="FFFFFF"/>
                <w:lang w:val="en-US" w:eastAsia="zh-CN" w:bidi="ar"/>
              </w:rPr>
              <w:t>1.指导农村饮水安全服务体系建，2.开展饮水工程建设和运行管理、3.开展水源保护日常巡查和水质检测。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 饮水工程运行</w:t>
            </w:r>
            <w:r>
              <w:rPr>
                <w:rFonts w:hint="default" w:ascii="宋体" w:hAnsi="宋体" w:eastAsia="宋体" w:cs="宋体"/>
                <w:i w:val="0"/>
                <w:iCs w:val="0"/>
                <w:color w:val="000000"/>
                <w:kern w:val="0"/>
                <w:sz w:val="18"/>
                <w:szCs w:val="18"/>
                <w:u w:val="none" w:color="FFFFFF"/>
                <w:shd w:val="clear" w:color="auto" w:fill="FFFFFF"/>
                <w:lang w:val="en-US" w:eastAsia="zh-CN" w:bidi="ar"/>
              </w:rPr>
              <w:t>、</w:t>
            </w:r>
            <w:r>
              <w:rPr>
                <w:rFonts w:hint="default" w:ascii="宋体" w:hAnsi="宋体" w:eastAsia="宋体" w:cs="宋体"/>
                <w:i w:val="0"/>
                <w:iCs w:val="0"/>
                <w:color w:val="000000"/>
                <w:kern w:val="0"/>
                <w:sz w:val="18"/>
                <w:szCs w:val="18"/>
                <w:u w:val="none"/>
                <w:lang w:val="en-US" w:eastAsia="zh-CN" w:bidi="ar"/>
              </w:rPr>
              <w:t>维护正常率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元/人·次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饮水工程运行维护保障及时率（%）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人数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集中供水工程年度维修养护费用控制额（*万元/座）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元/户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项目带动生产条件改善，促进产业增收面（%）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件/人</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集中供水覆盖率（%）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元/户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生态效益指标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农村饮水安全工程水源保护合格率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家/个/批次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可持续影响指标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项目持续发挥作用的期限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满意度指标</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服务对象满意度指标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脱贫摘帽建档立卡贫困户满意度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人（户）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iCs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 xml:space="preserve">农村饮水安全工程用户满意度 </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人（户）</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iCs/>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right"/>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color="FFFFFF"/>
                <w:shd w:val="clear" w:color="auto" w:fill="FFFFFF"/>
                <w:lang w:val="en-US" w:eastAsia="zh-CN" w:bidi="ar"/>
              </w:rPr>
              <w:t>结合</w:t>
            </w:r>
            <w:r>
              <w:rPr>
                <w:rFonts w:hint="eastAsia" w:ascii="微软雅黑" w:hAnsi="微软雅黑" w:eastAsia="微软雅黑" w:cs="微软雅黑"/>
                <w:i/>
                <w:iCs/>
                <w:color w:val="000000"/>
                <w:kern w:val="0"/>
                <w:sz w:val="16"/>
                <w:szCs w:val="16"/>
                <w:u w:val="none"/>
                <w:lang w:val="en-US" w:eastAsia="zh-CN" w:bidi="ar"/>
              </w:rPr>
              <w:t>自评情况，说明项目自评总分，说明项目实施取得的成效或成果。（200字以内）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2"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结合自评情况，分析存在的问题及原因。（200字以内）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hint="default" w:ascii="宋体" w:hAnsi="宋体" w:eastAsia="宋体" w:cs="宋体"/>
                <w:i w:val="0"/>
                <w:iCs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微软雅黑" w:hAnsi="微软雅黑" w:eastAsia="微软雅黑" w:cs="微软雅黑"/>
                <w:i/>
                <w:iCs/>
                <w:color w:val="000000"/>
                <w:sz w:val="16"/>
                <w:szCs w:val="16"/>
                <w:u w:val="none"/>
              </w:rPr>
            </w:pPr>
            <w:r>
              <w:rPr>
                <w:rFonts w:hint="eastAsia" w:ascii="微软雅黑" w:hAnsi="微软雅黑" w:eastAsia="微软雅黑" w:cs="微软雅黑"/>
                <w:i/>
                <w:iCs/>
                <w:color w:val="000000"/>
                <w:kern w:val="0"/>
                <w:sz w:val="16"/>
                <w:szCs w:val="16"/>
                <w:u w:val="none"/>
                <w:lang w:val="en-US" w:eastAsia="zh-CN" w:bidi="ar"/>
              </w:rPr>
              <w:t>针对项目自评中发现的问题，提出下一步改进完善的意见及有关政策性建议。（200字以内）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6"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eastAsia" w:ascii="黑体" w:hAnsi="黑体" w:eastAsia="黑体" w:cs="黑体"/>
                <w:i w:val="0"/>
                <w:iCs w:val="0"/>
                <w:color w:val="000000"/>
                <w:sz w:val="18"/>
                <w:szCs w:val="18"/>
                <w:u w:val="none"/>
              </w:rPr>
            </w:pPr>
            <w:r>
              <w:rPr>
                <w:rFonts w:hint="eastAsia" w:ascii="黑体" w:hAnsi="黑体" w:eastAsia="黑体" w:cs="黑体"/>
                <w:i w:val="0"/>
                <w:iCs w:val="0"/>
                <w:color w:val="000000"/>
                <w:kern w:val="0"/>
                <w:sz w:val="18"/>
                <w:szCs w:val="18"/>
                <w:u w:val="none"/>
                <w:lang w:val="en-US" w:eastAsia="zh-CN" w:bidi="ar"/>
              </w:rPr>
              <w:t>财务负责人：</w:t>
            </w:r>
          </w:p>
        </w:tc>
      </w:tr>
    </w:tbl>
    <w:p>
      <w:pPr>
        <w:spacing w:beforeLines="0" w:afterLines="0" w:line="600" w:lineRule="exact"/>
        <w:rPr>
          <w:rFonts w:hint="eastAsia" w:ascii="仿宋_GB2312" w:hAnsi="仿宋_GB2312" w:eastAsia="仿宋_GB2312"/>
          <w:color w:val="auto"/>
          <w:sz w:val="32"/>
          <w:szCs w:val="24"/>
          <w:lang w:val="en-US"/>
        </w:rPr>
      </w:pPr>
    </w:p>
    <w:p>
      <w:pPr>
        <w:spacing w:beforeLines="0" w:afterLines="0" w:line="600" w:lineRule="exact"/>
        <w:ind w:firstLine="640"/>
        <w:rPr>
          <w:rFonts w:hint="eastAsia" w:ascii="仿宋_GB2312" w:hAnsi="仿宋_GB2312" w:eastAsia="仿宋_GB2312"/>
          <w:color w:val="auto"/>
          <w:sz w:val="32"/>
          <w:szCs w:val="24"/>
          <w:lang w:val="en-US"/>
        </w:rPr>
      </w:pPr>
    </w:p>
    <w:p>
      <w:pPr>
        <w:pStyle w:val="2"/>
        <w:spacing w:beforeLines="0" w:afterLines="0"/>
        <w:rPr>
          <w:rFonts w:hint="eastAsia" w:ascii="Times New Roman" w:hAnsi="Times New Roman" w:eastAsia="仿宋_GB2312"/>
          <w:sz w:val="24"/>
          <w:szCs w:val="24"/>
          <w:lang w:val="en-US" w:eastAsia="zh-CN"/>
        </w:rPr>
      </w:pPr>
    </w:p>
    <w:p>
      <w:pPr>
        <w:pStyle w:val="2"/>
        <w:spacing w:beforeLines="0" w:afterLines="0"/>
        <w:rPr>
          <w:rFonts w:hint="default"/>
          <w:sz w:val="24"/>
          <w:szCs w:val="24"/>
          <w:lang w:val="en-US"/>
        </w:rPr>
      </w:pPr>
    </w:p>
    <w:p>
      <w:pPr>
        <w:spacing w:beforeLines="0" w:afterLines="0"/>
        <w:jc w:val="both"/>
        <w:rPr>
          <w:rFonts w:hint="eastAsia" w:ascii="仿宋_GB2312" w:hAnsi="仿宋_GB2312" w:eastAsia="仿宋_GB2312"/>
          <w:color w:val="auto"/>
          <w:sz w:val="32"/>
          <w:szCs w:val="24"/>
          <w:lang w:val="en-US"/>
        </w:rPr>
      </w:pPr>
    </w:p>
    <w:p>
      <w:pPr>
        <w:numPr>
          <w:ilvl w:val="0"/>
          <w:numId w:val="4"/>
        </w:numPr>
        <w:tabs>
          <w:tab w:val="left" w:pos="2936"/>
          <w:tab w:val="center" w:pos="5100"/>
        </w:tabs>
        <w:spacing w:beforeLines="0" w:afterLines="0" w:line="600" w:lineRule="exact"/>
        <w:ind w:left="2936" w:leftChars="0" w:firstLine="0" w:firstLineChars="0"/>
        <w:jc w:val="left"/>
        <w:outlineLvl w:val="0"/>
        <w:rPr>
          <w:rFonts w:hint="eastAsia" w:ascii="黑体" w:hAnsi="黑体" w:eastAsia="黑体"/>
          <w:color w:val="auto"/>
          <w:kern w:val="44"/>
          <w:sz w:val="44"/>
          <w:szCs w:val="24"/>
          <w:lang w:val="en-US"/>
        </w:rPr>
      </w:pPr>
      <w:bookmarkStart w:id="16" w:name="_Toc21142"/>
      <w:r>
        <w:rPr>
          <w:rFonts w:hint="eastAsia" w:ascii="黑体" w:hAnsi="黑体" w:eastAsia="黑体"/>
          <w:color w:val="auto"/>
          <w:kern w:val="44"/>
          <w:sz w:val="44"/>
          <w:szCs w:val="24"/>
          <w:lang w:val="en-US" w:eastAsia="zh-CN"/>
        </w:rPr>
        <w:tab/>
      </w:r>
      <w:bookmarkStart w:id="17" w:name="_Toc14820"/>
      <w:r>
        <w:rPr>
          <w:rFonts w:hint="eastAsia" w:ascii="黑体" w:hAnsi="黑体" w:eastAsia="黑体"/>
          <w:color w:val="auto"/>
          <w:kern w:val="44"/>
          <w:sz w:val="44"/>
          <w:szCs w:val="24"/>
          <w:lang w:val="en-US"/>
        </w:rPr>
        <w:t>附表</w:t>
      </w:r>
      <w:bookmarkEnd w:id="16"/>
      <w:bookmarkEnd w:id="17"/>
    </w:p>
    <w:p>
      <w:pPr>
        <w:pStyle w:val="2"/>
        <w:numPr>
          <w:ilvl w:val="0"/>
          <w:numId w:val="0"/>
        </w:numPr>
        <w:ind w:left="2936" w:leftChars="0"/>
        <w:rPr>
          <w:rFonts w:hint="eastAsia"/>
          <w:lang w:val="en-US"/>
        </w:rPr>
      </w:pPr>
    </w:p>
    <w:p>
      <w:pPr>
        <w:numPr>
          <w:ilvl w:val="0"/>
          <w:numId w:val="0"/>
        </w:numPr>
        <w:spacing w:beforeLines="0" w:afterLines="0" w:line="600" w:lineRule="exact"/>
        <w:ind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eastAsia="zh-CN"/>
        </w:rPr>
        <w:t>一、</w:t>
      </w:r>
      <w:r>
        <w:rPr>
          <w:rFonts w:hint="eastAsia" w:ascii="仿宋" w:hAnsi="仿宋" w:eastAsia="仿宋"/>
          <w:color w:val="auto"/>
          <w:kern w:val="2"/>
          <w:sz w:val="32"/>
          <w:szCs w:val="24"/>
          <w:lang w:val="en-US"/>
        </w:rPr>
        <w:t>收入支出决算总表</w:t>
      </w:r>
    </w:p>
    <w:p>
      <w:pPr>
        <w:numPr>
          <w:ilvl w:val="0"/>
          <w:numId w:val="0"/>
        </w:numPr>
        <w:spacing w:beforeLines="0" w:afterLines="0" w:line="600" w:lineRule="exact"/>
        <w:ind w:left="0" w:leftChars="0"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eastAsia="zh-CN"/>
        </w:rPr>
        <w:t>二、</w:t>
      </w:r>
      <w:r>
        <w:rPr>
          <w:rFonts w:hint="eastAsia" w:ascii="仿宋" w:hAnsi="仿宋" w:eastAsia="仿宋"/>
          <w:color w:val="auto"/>
          <w:kern w:val="2"/>
          <w:sz w:val="32"/>
          <w:szCs w:val="24"/>
          <w:lang w:val="en-US"/>
        </w:rPr>
        <w:t>收入决算表</w:t>
      </w:r>
    </w:p>
    <w:p>
      <w:pPr>
        <w:numPr>
          <w:ilvl w:val="0"/>
          <w:numId w:val="0"/>
        </w:numPr>
        <w:spacing w:beforeLines="0" w:afterLines="0" w:line="600" w:lineRule="exact"/>
        <w:ind w:left="0" w:leftChars="0"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eastAsia="zh-CN"/>
        </w:rPr>
        <w:t>三、</w:t>
      </w:r>
      <w:r>
        <w:rPr>
          <w:rFonts w:hint="eastAsia" w:ascii="仿宋" w:hAnsi="仿宋" w:eastAsia="仿宋"/>
          <w:color w:val="auto"/>
          <w:kern w:val="2"/>
          <w:sz w:val="32"/>
          <w:szCs w:val="24"/>
          <w:lang w:val="en-US"/>
        </w:rPr>
        <w:t>支出决算表</w:t>
      </w:r>
    </w:p>
    <w:p>
      <w:pPr>
        <w:numPr>
          <w:ilvl w:val="0"/>
          <w:numId w:val="0"/>
        </w:numPr>
        <w:spacing w:beforeLines="0" w:afterLines="0" w:line="600" w:lineRule="exact"/>
        <w:ind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四、财政拨款收入支出决算总表</w:t>
      </w:r>
    </w:p>
    <w:p>
      <w:pPr>
        <w:numPr>
          <w:ilvl w:val="0"/>
          <w:numId w:val="0"/>
        </w:numPr>
        <w:spacing w:beforeLines="0" w:afterLines="0" w:line="600" w:lineRule="exact"/>
        <w:ind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eastAsia="zh-CN"/>
        </w:rPr>
        <w:t>五</w:t>
      </w:r>
      <w:r>
        <w:rPr>
          <w:rFonts w:hint="eastAsia" w:ascii="仿宋" w:hAnsi="仿宋" w:eastAsia="仿宋"/>
          <w:color w:val="auto"/>
          <w:kern w:val="2"/>
          <w:sz w:val="32"/>
          <w:szCs w:val="24"/>
          <w:lang w:val="en-US"/>
        </w:rPr>
        <w:t>、财政拨款支出决算明细表</w:t>
      </w:r>
    </w:p>
    <w:p>
      <w:pPr>
        <w:numPr>
          <w:ilvl w:val="0"/>
          <w:numId w:val="0"/>
        </w:numPr>
        <w:spacing w:beforeLines="0" w:afterLines="0" w:line="600" w:lineRule="exact"/>
        <w:ind w:firstLine="640" w:firstLineChars="200"/>
        <w:jc w:val="both"/>
        <w:rPr>
          <w:rFonts w:hint="eastAsia" w:ascii="仿宋" w:hAnsi="仿宋" w:eastAsia="仿宋"/>
          <w:color w:val="auto"/>
          <w:kern w:val="2"/>
          <w:sz w:val="32"/>
          <w:szCs w:val="24"/>
          <w:lang w:val="en-US"/>
        </w:rPr>
      </w:pPr>
      <w:r>
        <w:rPr>
          <w:rFonts w:hint="eastAsia" w:ascii="仿宋" w:hAnsi="仿宋" w:eastAsia="仿宋"/>
          <w:color w:val="auto"/>
          <w:kern w:val="2"/>
          <w:sz w:val="32"/>
          <w:szCs w:val="24"/>
          <w:lang w:val="en-US"/>
        </w:rPr>
        <w:t>六、一般公共预算财政拨款支出决算</w:t>
      </w:r>
    </w:p>
    <w:p>
      <w:pPr>
        <w:numPr>
          <w:ilvl w:val="0"/>
          <w:numId w:val="0"/>
        </w:numPr>
        <w:spacing w:beforeLines="0" w:afterLines="0" w:line="600" w:lineRule="exact"/>
        <w:ind w:firstLine="640" w:firstLineChars="200"/>
        <w:jc w:val="both"/>
        <w:rPr>
          <w:rFonts w:hint="eastAsia" w:ascii="仿宋" w:hAnsi="仿宋" w:eastAsia="仿宋"/>
          <w:b/>
          <w:color w:val="auto"/>
          <w:kern w:val="2"/>
          <w:sz w:val="32"/>
          <w:szCs w:val="24"/>
          <w:lang w:val="en-US"/>
        </w:rPr>
      </w:pPr>
      <w:r>
        <w:rPr>
          <w:rFonts w:hint="eastAsia" w:ascii="仿宋" w:hAnsi="仿宋" w:eastAsia="仿宋"/>
          <w:color w:val="auto"/>
          <w:kern w:val="2"/>
          <w:sz w:val="32"/>
          <w:szCs w:val="24"/>
          <w:lang w:val="en-US"/>
        </w:rPr>
        <w:t>七、一般公共预算财政拨款支出决算明细表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八、一般公共预算财政拨款基本支出决算表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九、一般公共预算财政拨款项目支出决算表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十、政府性基金预</w:t>
      </w:r>
      <w:r>
        <w:rPr>
          <w:rFonts w:hint="eastAsia" w:ascii="仿宋" w:hAnsi="仿宋" w:eastAsia="仿宋" w:cs="Times New Roman"/>
          <w:color w:val="auto"/>
          <w:kern w:val="2"/>
          <w:sz w:val="32"/>
          <w:szCs w:val="24"/>
          <w:u w:val="none" w:color="FFFFFF"/>
          <w:shd w:val="clear" w:color="auto" w:fill="FFFFFF"/>
          <w:lang w:val="en-US"/>
        </w:rPr>
        <w:t>算</w:t>
      </w:r>
      <w:r>
        <w:rPr>
          <w:rFonts w:hint="eastAsia" w:ascii="仿宋" w:hAnsi="仿宋" w:eastAsia="仿宋" w:cs="Times New Roman"/>
          <w:color w:val="auto"/>
          <w:kern w:val="2"/>
          <w:sz w:val="32"/>
          <w:szCs w:val="24"/>
          <w:lang w:val="en-US"/>
        </w:rPr>
        <w:t>财政拨款收入支出决算表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十一、国有资本经营预</w:t>
      </w:r>
      <w:r>
        <w:rPr>
          <w:rFonts w:hint="eastAsia" w:ascii="仿宋" w:hAnsi="仿宋" w:eastAsia="仿宋" w:cs="Times New Roman"/>
          <w:color w:val="auto"/>
          <w:kern w:val="2"/>
          <w:sz w:val="32"/>
          <w:szCs w:val="24"/>
          <w:u w:val="none" w:color="FFFFFF"/>
          <w:shd w:val="clear" w:color="auto" w:fill="FFFFFF"/>
          <w:lang w:val="en-US"/>
        </w:rPr>
        <w:t>算</w:t>
      </w:r>
      <w:r>
        <w:rPr>
          <w:rFonts w:hint="eastAsia" w:ascii="仿宋" w:hAnsi="仿宋" w:eastAsia="仿宋" w:cs="Times New Roman"/>
          <w:color w:val="auto"/>
          <w:kern w:val="2"/>
          <w:sz w:val="32"/>
          <w:szCs w:val="24"/>
          <w:lang w:val="en-US"/>
        </w:rPr>
        <w:t>财政拨款收入支出决算表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十二、国有资本经营预算财政拨款支出决算表</w:t>
      </w:r>
    </w:p>
    <w:p>
      <w:pPr>
        <w:numPr>
          <w:ilvl w:val="0"/>
          <w:numId w:val="0"/>
        </w:numPr>
        <w:spacing w:beforeLines="0" w:afterLines="0" w:line="600" w:lineRule="exact"/>
        <w:ind w:firstLine="640" w:firstLineChars="200"/>
        <w:jc w:val="both"/>
        <w:rPr>
          <w:rFonts w:hint="eastAsia" w:ascii="仿宋" w:hAnsi="仿宋" w:eastAsia="仿宋" w:cs="Times New Roman"/>
          <w:color w:val="auto"/>
          <w:kern w:val="2"/>
          <w:sz w:val="32"/>
          <w:szCs w:val="24"/>
          <w:lang w:val="en-US"/>
        </w:rPr>
      </w:pPr>
      <w:r>
        <w:rPr>
          <w:rFonts w:hint="eastAsia" w:ascii="仿宋" w:hAnsi="仿宋" w:eastAsia="仿宋" w:cs="Times New Roman"/>
          <w:color w:val="auto"/>
          <w:kern w:val="2"/>
          <w:sz w:val="32"/>
          <w:szCs w:val="24"/>
          <w:lang w:val="en-US"/>
        </w:rPr>
        <w:t>十三、财政拨款“三公”经费支出决算表</w:t>
      </w:r>
    </w:p>
    <w:p>
      <w:pPr>
        <w:numPr>
          <w:ilvl w:val="0"/>
          <w:numId w:val="0"/>
        </w:numPr>
        <w:spacing w:beforeLines="0" w:afterLines="0" w:line="600" w:lineRule="exact"/>
        <w:ind w:firstLine="640" w:firstLineChars="200"/>
        <w:jc w:val="both"/>
        <w:rPr>
          <w:rFonts w:hint="default" w:ascii="仿宋" w:hAnsi="仿宋" w:eastAsia="仿宋" w:cs="Times New Roman"/>
          <w:color w:val="auto"/>
          <w:kern w:val="2"/>
          <w:sz w:val="32"/>
          <w:szCs w:val="24"/>
          <w:lang w:val="en-US" w:eastAsia="zh-CN"/>
        </w:rPr>
      </w:pPr>
    </w:p>
    <w:p>
      <w:pPr>
        <w:pStyle w:val="2"/>
        <w:numPr>
          <w:ilvl w:val="0"/>
          <w:numId w:val="0"/>
        </w:numPr>
        <w:rPr>
          <w:rFonts w:hint="eastAsia"/>
          <w:lang w:val="en-US"/>
        </w:rPr>
      </w:pPr>
    </w:p>
    <w:sectPr>
      <w:pgSz w:w="12240" w:h="15840"/>
      <w:pgMar w:top="1440" w:right="1800" w:bottom="1440" w:left="1800" w:header="720" w:footer="720" w:gutter="0"/>
      <w:lnNumType w:countBy="0" w:distance="36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19398FC-CC95-416E-A0FC-A237A1C8D52C}"/>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altName w:val="微软雅黑"/>
    <w:panose1 w:val="02010609060101010101"/>
    <w:charset w:val="86"/>
    <w:family w:val="modern"/>
    <w:pitch w:val="default"/>
    <w:sig w:usb0="800002BF" w:usb1="38CF7CFA" w:usb2="00000016" w:usb3="00000000" w:csb0="00040001" w:csb1="00000000"/>
    <w:embedRegular r:id="rId2" w:fontKey="{D0010CFE-51D6-4C21-A43C-3D88405C3A6D}"/>
  </w:font>
  <w:font w:name="方正小标宋简体">
    <w:panose1 w:val="02000000000000000000"/>
    <w:charset w:val="86"/>
    <w:family w:val="script"/>
    <w:pitch w:val="default"/>
    <w:sig w:usb0="00000001" w:usb1="08000000" w:usb2="00000000" w:usb3="00000000" w:csb0="00040000" w:csb1="00000000"/>
    <w:embedRegular r:id="rId3" w:fontKey="{E379C812-ED7B-471B-B596-8625E4565AE6}"/>
  </w:font>
  <w:font w:name="仿宋_GB2312">
    <w:panose1 w:val="02010609030101010101"/>
    <w:charset w:val="86"/>
    <w:family w:val="modern"/>
    <w:pitch w:val="default"/>
    <w:sig w:usb0="00000001" w:usb1="080E0000" w:usb2="00000000" w:usb3="00000000" w:csb0="00040000" w:csb1="00000000"/>
    <w:embedRegular r:id="rId4" w:fontKey="{98E5961C-35A3-40DF-BB1B-C42B27C498F1}"/>
  </w:font>
  <w:font w:name="Cambria">
    <w:panose1 w:val="02040503050406030204"/>
    <w:charset w:val="00"/>
    <w:family w:val="roman"/>
    <w:pitch w:val="default"/>
    <w:sig w:usb0="E00002FF" w:usb1="400004FF" w:usb2="00000000" w:usb3="00000000" w:csb0="2000019F" w:csb1="00000000"/>
    <w:embedRegular r:id="rId5" w:fontKey="{58A28B27-F4B9-45FF-9822-D605FB69990E}"/>
  </w:font>
  <w:font w:name="微软雅黑">
    <w:panose1 w:val="020B0503020204020204"/>
    <w:charset w:val="86"/>
    <w:family w:val="auto"/>
    <w:pitch w:val="default"/>
    <w:sig w:usb0="80000287" w:usb1="280F3C52" w:usb2="00000016" w:usb3="00000000" w:csb0="0004001F" w:csb1="00000000"/>
    <w:embedRegular r:id="rId6" w:fontKey="{ECB1FCF0-E7B0-43BD-A768-0AF0B20ACBDC}"/>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E1CDC2"/>
    <w:multiLevelType w:val="singleLevel"/>
    <w:tmpl w:val="86E1CDC2"/>
    <w:lvl w:ilvl="0" w:tentative="0">
      <w:start w:val="5"/>
      <w:numFmt w:val="chineseCounting"/>
      <w:suff w:val="space"/>
      <w:lvlText w:val="第%1部分"/>
      <w:lvlJc w:val="left"/>
      <w:pPr>
        <w:ind w:left="2936" w:firstLine="0"/>
      </w:pPr>
      <w:rPr>
        <w:rFonts w:hint="eastAsia"/>
      </w:rPr>
    </w:lvl>
  </w:abstractNum>
  <w:abstractNum w:abstractNumId="1">
    <w:nsid w:val="B7DB247C"/>
    <w:multiLevelType w:val="singleLevel"/>
    <w:tmpl w:val="B7DB247C"/>
    <w:lvl w:ilvl="0" w:tentative="0">
      <w:start w:val="1"/>
      <w:numFmt w:val="chineseCounting"/>
      <w:suff w:val="nothing"/>
      <w:lvlText w:val="（%1）"/>
      <w:lvlJc w:val="left"/>
      <w:rPr>
        <w:rFonts w:hint="eastAsia"/>
      </w:rPr>
    </w:lvl>
  </w:abstractNum>
  <w:abstractNum w:abstractNumId="2">
    <w:nsid w:val="2D984139"/>
    <w:multiLevelType w:val="singleLevel"/>
    <w:tmpl w:val="2D984139"/>
    <w:lvl w:ilvl="0" w:tentative="0">
      <w:start w:val="2"/>
      <w:numFmt w:val="chineseCounting"/>
      <w:suff w:val="nothing"/>
      <w:lvlText w:val="%1、"/>
      <w:lvlJc w:val="left"/>
      <w:rPr>
        <w:rFonts w:hint="eastAsia"/>
      </w:rPr>
    </w:lvl>
  </w:abstractNum>
  <w:abstractNum w:abstractNumId="3">
    <w:nsid w:val="4587E9AE"/>
    <w:multiLevelType w:val="singleLevel"/>
    <w:tmpl w:val="4587E9AE"/>
    <w:lvl w:ilvl="0" w:tentative="0">
      <w:start w:val="7"/>
      <w:numFmt w:val="chineseCounting"/>
      <w:suff w:val="nothing"/>
      <w:lvlText w:val="%1、"/>
      <w:lvlJc w:val="left"/>
      <w:rPr>
        <w:rFonts w:hint="eastAsia"/>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rawingGridVerticalSpacing w:val="120"/>
  <w:displayHorizontalDrawingGridEvery w:val="1"/>
  <w:displayVerticalDrawingGridEvery w:val="1"/>
  <w:doNotUseMarginsForDrawingGridOrigin w:val="1"/>
  <w:drawingGridHorizontalOrigin w:val="1701"/>
  <w:drawingGridVerticalOrigin w:val="1984"/>
  <w:doNotShadeFormData w:val="1"/>
  <w:noPunctuationKerning w:val="1"/>
  <w:characterSpacingControl w:val="compressPunctuation"/>
  <w:doNotValidateAgainstSchema/>
  <w:doNotDemarcateInvalidXml/>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BkNzU4MGEzZWU1N2EyOWI1ZjNmYWFlMDYwMDRkMjAifQ=="/>
  </w:docVars>
  <w:rsids>
    <w:rsidRoot w:val="00172A27"/>
    <w:rsid w:val="02405F8A"/>
    <w:rsid w:val="09AD2669"/>
    <w:rsid w:val="14130668"/>
    <w:rsid w:val="14B367D3"/>
    <w:rsid w:val="272E1AD7"/>
    <w:rsid w:val="300764C0"/>
    <w:rsid w:val="33FF6811"/>
    <w:rsid w:val="3B1A7B18"/>
    <w:rsid w:val="3FE61D9A"/>
    <w:rsid w:val="542C1497"/>
    <w:rsid w:val="544F17C7"/>
    <w:rsid w:val="601F0DD1"/>
    <w:rsid w:val="63E52668"/>
    <w:rsid w:val="6A1F69E1"/>
    <w:rsid w:val="7650021E"/>
    <w:rsid w:val="78F148D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semiHidden="0" w:name="Normal"/>
    <w:lsdException w:uiPriority="99" w:semiHidden="0" w:name="heading 1"/>
    <w:lsdException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qFormat="1" w:unhideWhenUsed="0" w:uiPriority="99" w:semiHidden="0" w:name="index 1"/>
    <w:lsdException w:qFormat="1" w:unhideWhenUsed="0" w:uiPriority="99" w:semiHidden="0" w:name="index 2"/>
    <w:lsdException w:qFormat="1" w:unhideWhenUsed="0" w:uiPriority="99" w:semiHidden="0" w:name="index 3"/>
    <w:lsdException w:qFormat="1" w:unhideWhenUsed="0" w:uiPriority="99" w:semiHidden="0" w:name="index 4"/>
    <w:lsdException w:qFormat="1" w:unhideWhenUsed="0" w:uiPriority="99" w:semiHidden="0" w:name="index 5"/>
    <w:lsdException w:qFormat="1" w:unhideWhenUsed="0" w:uiPriority="99" w:semiHidden="0" w:name="index 6"/>
    <w:lsdException w:qFormat="1" w:unhideWhenUsed="0" w:uiPriority="99" w:semiHidden="0" w:name="index 7"/>
    <w:lsdException w:qFormat="1" w:unhideWhenUsed="0" w:uiPriority="99" w:semiHidden="0" w:name="index 8"/>
    <w:lsdException w:qFormat="1" w:unhideWhenUsed="0" w:uiPriority="99" w:semiHidden="0" w:name="index 9"/>
    <w:lsdException w:qFormat="1" w:unhideWhenUsed="0" w:uiPriority="99" w:semiHidden="0" w:name="toc 1"/>
    <w:lsdException w:qFormat="1" w:unhideWhenUsed="0" w:uiPriority="99" w:semiHidden="0" w:name="toc 2"/>
    <w:lsdException w:qFormat="1" w:unhideWhenUsed="0" w:uiPriority="99" w:semiHidden="0" w:name="toc 3"/>
    <w:lsdException w:qFormat="1" w:unhideWhenUsed="0" w:uiPriority="99" w:semiHidden="0" w:name="toc 4"/>
    <w:lsdException w:qFormat="1" w:unhideWhenUsed="0" w:uiPriority="99" w:semiHidden="0" w:name="toc 5"/>
    <w:lsdException w:qFormat="1" w:unhideWhenUsed="0" w:uiPriority="99" w:semiHidden="0" w:name="toc 6"/>
    <w:lsdException w:qFormat="1" w:unhideWhenUsed="0" w:uiPriority="99" w:semiHidden="0" w:name="toc 7"/>
    <w:lsdException w:qFormat="1" w:unhideWhenUsed="0" w:uiPriority="99" w:semiHidden="0" w:name="toc 8"/>
    <w:lsdException w:qFormat="1" w:unhideWhenUsed="0" w:uiPriority="99" w:semiHidden="0" w:name="toc 9"/>
    <w:lsdException w:qFormat="1" w:unhideWhenUsed="0" w:uiPriority="99" w:semiHidden="0" w:name="Normal Indent"/>
    <w:lsdException w:qFormat="1" w:unhideWhenUsed="0" w:uiPriority="99"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99" w:semiHidden="0" w:name="index heading"/>
    <w:lsdException w:qFormat="1" w:unhideWhenUsed="0" w:uiPriority="99" w:semiHidden="0" w:name="caption"/>
    <w:lsdException w:qFormat="1" w:unhideWhenUsed="0" w:uiPriority="99" w:semiHidden="0" w:name="table of figures"/>
    <w:lsdException w:qFormat="1" w:unhideWhenUsed="0" w:uiPriority="99" w:semiHidden="0" w:name="envelope address"/>
    <w:lsdException w:qFormat="1" w:unhideWhenUsed="0" w:uiPriority="99" w:semiHidden="0" w:name="envelope return"/>
    <w:lsdException w:qFormat="1" w:unhideWhenUsed="0" w:uiPriority="99" w:semiHidden="0" w:name="footnote reference"/>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qFormat="1" w:unhideWhenUsed="0" w:uiPriority="99" w:semiHidden="0" w:name="endnote reference"/>
    <w:lsdException w:qFormat="1" w:unhideWhenUsed="0" w:uiPriority="99" w:semiHidden="0" w:name="endnote text"/>
    <w:lsdException w:qFormat="1" w:unhideWhenUsed="0" w:uiPriority="99" w:semiHidden="0" w:name="table of authorities"/>
    <w:lsdException w:qFormat="1" w:unhideWhenUsed="0" w:uiPriority="99" w:semiHidden="0" w:name="macro"/>
    <w:lsdException w:qFormat="1" w:unhideWhenUsed="0" w:uiPriority="99" w:semiHidden="0" w:name="toa heading"/>
    <w:lsdException w:qFormat="1" w:unhideWhenUsed="0" w:uiPriority="99" w:semiHidden="0" w:name="List"/>
    <w:lsdException w:qFormat="1" w:unhideWhenUsed="0" w:uiPriority="99" w:semiHidden="0" w:name="List Bullet"/>
    <w:lsdException w:qFormat="1" w:unhideWhenUsed="0" w:uiPriority="99" w:semiHidden="0" w:name="List Number"/>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qFormat="1" w:unhideWhenUsed="0" w:uiPriority="99" w:semiHidden="0" w:name="List Bullet 2"/>
    <w:lsdException w:qFormat="1" w:unhideWhenUsed="0" w:uiPriority="99" w:semiHidden="0" w:name="List Bullet 3"/>
    <w:lsdException w:qFormat="1" w:unhideWhenUsed="0" w:uiPriority="99" w:semiHidden="0" w:name="List Bullet 4"/>
    <w:lsdException w:qFormat="1" w:unhideWhenUsed="0" w:uiPriority="99" w:semiHidden="0" w:name="List Bullet 5"/>
    <w:lsdException w:qFormat="1" w:unhideWhenUsed="0" w:uiPriority="99" w:semiHidden="0" w:name="List Number 2"/>
    <w:lsdException w:qFormat="1" w:unhideWhenUsed="0" w:uiPriority="99" w:semiHidden="0" w:name="List Number 3"/>
    <w:lsdException w:qFormat="1" w:unhideWhenUsed="0" w:uiPriority="99" w:semiHidden="0" w:name="List Number 4"/>
    <w:lsdException w:qFormat="1" w:unhideWhenUsed="0" w:uiPriority="99" w:semiHidden="0" w:name="List Number 5"/>
    <w:lsdException w:qFormat="1" w:unhideWhenUsed="0" w:uiPriority="99" w:semiHidden="0" w:name="Title"/>
    <w:lsdException w:qFormat="1" w:unhideWhenUsed="0" w:uiPriority="99" w:semiHidden="0" w:name="Closing"/>
    <w:lsdException w:qFormat="1" w:unhideWhenUsed="0" w:uiPriority="99" w:semiHidden="0" w:name="Signature"/>
    <w:lsdException w:uiPriority="99" w:semiHidden="0"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qFormat="1" w:unhideWhenUsed="0" w:uiPriority="99" w:semiHidden="0" w:name="List Continue 5"/>
    <w:lsdException w:qFormat="1" w:unhideWhenUsed="0" w:uiPriority="99" w:semiHidden="0" w:name="Message Header"/>
    <w:lsdException w:qFormat="1" w:unhideWhenUsed="0" w:uiPriority="99" w:semiHidden="0" w:name="Subtitle"/>
    <w:lsdException w:qFormat="1" w:unhideWhenUsed="0" w:uiPriority="99" w:semiHidden="0" w:name="Salutation"/>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qFormat="1" w:unhideWhenUsed="0" w:uiPriority="99" w:semiHidden="0" w:name="Note Heading"/>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qFormat="1" w:unhideWhenUsed="0" w:uiPriority="99" w:semiHidden="0" w:name="Document Map"/>
    <w:lsdException w:qFormat="1" w:unhideWhenUsed="0" w:uiPriority="99" w:semiHidden="0" w:name="Plain Text"/>
    <w:lsdException w:qFormat="1" w:unhideWhenUsed="0" w:uiPriority="99" w:semiHidden="0" w:name="E-mail Signature"/>
    <w:lsdException w:qFormat="1" w:unhideWhenUsed="0" w:uiPriority="99" w:semiHidden="0" w:name="Normal (Web)"/>
    <w:lsdException w:qFormat="1" w:unhideWhenUsed="0" w:uiPriority="99" w:semiHidden="0" w:name="HTML Acronym"/>
    <w:lsdException w:qFormat="1" w:unhideWhenUsed="0" w:uiPriority="99" w:semiHidden="0" w:name="HTML Address"/>
    <w:lsdException w:qFormat="1" w:unhideWhenUsed="0" w:uiPriority="99" w:semiHidden="0" w:name="HTML Cite"/>
    <w:lsdException w:qFormat="1" w:unhideWhenUsed="0" w:uiPriority="99" w:semiHidden="0" w:name="HTML Code"/>
    <w:lsdException w:qFormat="1" w:unhideWhenUsed="0" w:uiPriority="99" w:semiHidden="0" w:name="HTML Definition"/>
    <w:lsdException w:qFormat="1" w:unhideWhenUsed="0" w:uiPriority="99" w:semiHidden="0" w:name="HTML Keyboard"/>
    <w:lsdException w:qFormat="1" w:unhideWhenUsed="0" w:uiPriority="99" w:semiHidden="0" w:name="HTML Preformatted"/>
    <w:lsdException w:qFormat="1" w:unhideWhenUsed="0" w:uiPriority="99" w:semiHidden="0" w:name="HTML Sample"/>
    <w:lsdException w:qFormat="1" w:unhideWhenUsed="0" w:uiPriority="99" w:semiHidden="0" w:name="HTML Typewriter"/>
    <w:lsdException w:qFormat="1" w:unhideWhenUsed="0" w:uiPriority="99" w:semiHidden="0" w:name="HTML Variable"/>
    <w:lsdException w:qFormat="1" w:unhideWhenUsed="0" w:uiPriority="99" w:semiHidden="0" w:name="Normal Table"/>
    <w:lsdException w:qFormat="1" w:unhideWhenUsed="0" w:uiPriority="99" w:semiHidden="0" w:name="annotation subject"/>
    <w:lsdException w:qFormat="1" w:unhideWhenUsed="0" w:uiPriority="99" w:semiHidden="0" w:name="Table Simple 1"/>
    <w:lsdException w:qFormat="1" w:unhideWhenUsed="0" w:uiPriority="99" w:semiHidden="0" w:name="Table Simple 2"/>
    <w:lsdException w:qFormat="1" w:unhideWhenUsed="0" w:uiPriority="99" w:semiHidden="0" w:name="Table Simple 3"/>
    <w:lsdException w:qFormat="1" w:unhideWhenUsed="0" w:uiPriority="99" w:semiHidden="0" w:name="Table Classic 1"/>
    <w:lsdException w:qFormat="1" w:unhideWhenUsed="0" w:uiPriority="99" w:semiHidden="0" w:name="Table Classic 2"/>
    <w:lsdException w:qFormat="1" w:unhideWhenUsed="0" w:uiPriority="99" w:semiHidden="0" w:name="Table Classic 3"/>
    <w:lsdException w:qFormat="1" w:unhideWhenUsed="0" w:uiPriority="99" w:semiHidden="0" w:name="Table Classic 4"/>
    <w:lsdException w:qFormat="1" w:unhideWhenUsed="0" w:uiPriority="99" w:semiHidden="0" w:name="Table Colorful 1"/>
    <w:lsdException w:qFormat="1" w:unhideWhenUsed="0" w:uiPriority="99" w:semiHidden="0" w:name="Table Colorful 2"/>
    <w:lsdException w:qFormat="1" w:unhideWhenUsed="0" w:uiPriority="99" w:semiHidden="0" w:name="Table Colorful 3"/>
    <w:lsdException w:qFormat="1" w:unhideWhenUsed="0" w:uiPriority="99" w:semiHidden="0" w:name="Table Columns 1"/>
    <w:lsdException w:qFormat="1" w:unhideWhenUsed="0" w:uiPriority="99" w:semiHidden="0" w:name="Table Columns 2"/>
    <w:lsdException w:qFormat="1" w:unhideWhenUsed="0" w:uiPriority="99" w:semiHidden="0" w:name="Table Columns 3"/>
    <w:lsdException w:qFormat="1" w:unhideWhenUsed="0" w:uiPriority="99" w:semiHidden="0" w:name="Table Columns 4"/>
    <w:lsdException w:qFormat="1" w:unhideWhenUsed="0" w:uiPriority="99" w:semiHidden="0" w:name="Table Columns 5"/>
    <w:lsdException w:qFormat="1" w:unhideWhenUsed="0" w:uiPriority="99" w:semiHidden="0" w:name="Table Grid 1"/>
    <w:lsdException w:qFormat="1" w:unhideWhenUsed="0" w:uiPriority="99" w:semiHidden="0" w:name="Table Grid 2"/>
    <w:lsdException w:qFormat="1" w:unhideWhenUsed="0" w:uiPriority="99" w:semiHidden="0" w:name="Table Grid 3"/>
    <w:lsdException w:qFormat="1" w:unhideWhenUsed="0" w:uiPriority="99" w:semiHidden="0" w:name="Table Grid 4"/>
    <w:lsdException w:qFormat="1" w:unhideWhenUsed="0" w:uiPriority="99" w:semiHidden="0" w:name="Table Grid 5"/>
    <w:lsdException w:qFormat="1" w:unhideWhenUsed="0" w:uiPriority="99" w:semiHidden="0" w:name="Table Grid 6"/>
    <w:lsdException w:qFormat="1" w:unhideWhenUsed="0" w:uiPriority="99" w:semiHidden="0" w:name="Table Grid 7"/>
    <w:lsdException w:qFormat="1" w:unhideWhenUsed="0" w:uiPriority="99" w:semiHidden="0" w:name="Table Grid 8"/>
    <w:lsdException w:qFormat="1" w:unhideWhenUsed="0" w:uiPriority="99" w:semiHidden="0" w:name="Table List 1"/>
    <w:lsdException w:qFormat="1" w:unhideWhenUsed="0" w:uiPriority="99" w:semiHidden="0" w:name="Table List 2"/>
    <w:lsdException w:qFormat="1" w:unhideWhenUsed="0" w:uiPriority="99" w:semiHidden="0" w:name="Table List 3"/>
    <w:lsdException w:qFormat="1" w:unhideWhenUsed="0" w:uiPriority="99" w:semiHidden="0" w:name="Table List 4"/>
    <w:lsdException w:qFormat="1" w:unhideWhenUsed="0" w:uiPriority="99" w:semiHidden="0" w:name="Table List 5"/>
    <w:lsdException w:qFormat="1" w:unhideWhenUsed="0" w:uiPriority="99" w:semiHidden="0" w:name="Table List 6"/>
    <w:lsdException w:qFormat="1" w:unhideWhenUsed="0" w:uiPriority="99" w:semiHidden="0" w:name="Table List 7"/>
    <w:lsdException w:qFormat="1" w:unhideWhenUsed="0" w:uiPriority="99" w:semiHidden="0" w:name="Table List 8"/>
    <w:lsdException w:qFormat="1" w:unhideWhenUsed="0" w:uiPriority="99" w:semiHidden="0" w:name="Table 3D effects 1"/>
    <w:lsdException w:qFormat="1" w:unhideWhenUsed="0" w:uiPriority="99" w:semiHidden="0" w:name="Table 3D effects 2"/>
    <w:lsdException w:qFormat="1" w:unhideWhenUsed="0" w:uiPriority="99" w:semiHidden="0" w:name="Table 3D effects 3"/>
    <w:lsdException w:qFormat="1" w:unhideWhenUsed="0" w:uiPriority="99" w:semiHidden="0" w:name="Table Contemporary"/>
    <w:lsdException w:qFormat="1" w:unhideWhenUsed="0" w:uiPriority="99" w:semiHidden="0" w:name="Table Elegant"/>
    <w:lsdException w:qFormat="1" w:unhideWhenUsed="0" w:uiPriority="99" w:semiHidden="0" w:name="Table Professional"/>
    <w:lsdException w:qFormat="1" w:unhideWhenUsed="0" w:uiPriority="99" w:semiHidden="0" w:name="Table Subtle 1"/>
    <w:lsdException w:qFormat="1" w:unhideWhenUsed="0" w:uiPriority="99" w:semiHidden="0" w:name="Table Subtle 2"/>
    <w:lsdException w:qFormat="1" w:unhideWhenUsed="0" w:uiPriority="99" w:semiHidden="0" w:name="Table Web 1"/>
    <w:lsdException w:qFormat="1" w:unhideWhenUsed="0" w:uiPriority="99" w:semiHidden="0" w:name="Table Web 2"/>
    <w:lsdException w:qFormat="1" w:unhideWhenUsed="0" w:uiPriority="99" w:semiHidden="0" w:name="Table Web 3"/>
    <w:lsdException w:qFormat="1" w:unhideWhenUsed="0" w:uiPriority="99" w:semiHidden="0" w:name="Balloon Text"/>
    <w:lsdException w:qFormat="1" w:unhideWhenUsed="0" w:uiPriority="99" w:semiHidden="0" w:name="Table Grid"/>
    <w:lsdException w:qFormat="1" w:unhideWhenUsed="0" w:uiPriority="99" w:semiHidden="0" w:name="Table Theme"/>
    <w:lsdException w:qFormat="1" w:unhideWhenUsed="0" w:uiPriority="99" w:semiHidden="0" w:name="Light Shading"/>
    <w:lsdException w:qFormat="1" w:unhideWhenUsed="0" w:uiPriority="99" w:semiHidden="0" w:name="Light List"/>
    <w:lsdException w:qFormat="1" w:unhideWhenUsed="0" w:uiPriority="99" w:semiHidden="0" w:name="Light Grid"/>
    <w:lsdException w:qFormat="1" w:unhideWhenUsed="0" w:uiPriority="99" w:semiHidden="0" w:name="Medium Shading 1"/>
    <w:lsdException w:qFormat="1" w:unhideWhenUsed="0" w:uiPriority="99" w:semiHidden="0" w:name="Medium Shading 2"/>
    <w:lsdException w:qFormat="1" w:unhideWhenUsed="0" w:uiPriority="99" w:semiHidden="0" w:name="Medium List 1"/>
    <w:lsdException w:qFormat="1" w:unhideWhenUsed="0" w:uiPriority="99" w:semiHidden="0" w:name="Medium List 2"/>
    <w:lsdException w:qFormat="1" w:unhideWhenUsed="0" w:uiPriority="99" w:semiHidden="0" w:name="Medium Grid 1"/>
    <w:lsdException w:qFormat="1" w:unhideWhenUsed="0" w:uiPriority="99" w:semiHidden="0" w:name="Medium Grid 2"/>
    <w:lsdException w:qFormat="1" w:unhideWhenUsed="0" w:uiPriority="99" w:semiHidden="0" w:name="Medium Grid 3"/>
    <w:lsdException w:qFormat="1" w:unhideWhenUsed="0" w:uiPriority="99" w:semiHidden="0" w:name="Dark List"/>
    <w:lsdException w:qFormat="1" w:unhideWhenUsed="0" w:uiPriority="99" w:semiHidden="0" w:name="Colorful Shading"/>
    <w:lsdException w:qFormat="1" w:unhideWhenUsed="0" w:uiPriority="99" w:semiHidden="0" w:name="Colorful List"/>
    <w:lsdException w:qFormat="1" w:unhideWhenUsed="0" w:uiPriority="99" w:semiHidden="0" w:name="Colorful Grid"/>
    <w:lsdException w:qFormat="1" w:unhideWhenUsed="0" w:uiPriority="99" w:semiHidden="0" w:name="Light Shading Accent 1"/>
    <w:lsdException w:qFormat="1" w:unhideWhenUsed="0" w:uiPriority="99" w:semiHidden="0" w:name="Light List Accent 1"/>
    <w:lsdException w:qFormat="1" w:unhideWhenUsed="0" w:uiPriority="99" w:semiHidden="0" w:name="Light Grid Accent 1"/>
    <w:lsdException w:qFormat="1" w:unhideWhenUsed="0" w:uiPriority="99" w:semiHidden="0" w:name="Medium Shading 1 Accent 1"/>
    <w:lsdException w:qFormat="1" w:unhideWhenUsed="0" w:uiPriority="99" w:semiHidden="0" w:name="Medium Shading 2 Accent 1"/>
    <w:lsdException w:qFormat="1" w:unhideWhenUsed="0" w:uiPriority="99" w:semiHidden="0" w:name="Medium List 1 Accent 1"/>
    <w:lsdException w:qFormat="1" w:unhideWhenUsed="0" w:uiPriority="99" w:semiHidden="0" w:name="Medium List 2 Accent 1"/>
    <w:lsdException w:qFormat="1" w:unhideWhenUsed="0" w:uiPriority="99" w:semiHidden="0" w:name="Medium Grid 1 Accent 1"/>
    <w:lsdException w:qFormat="1" w:unhideWhenUsed="0" w:uiPriority="99" w:semiHidden="0" w:name="Medium Grid 2 Accent 1"/>
    <w:lsdException w:qFormat="1" w:unhideWhenUsed="0" w:uiPriority="99" w:semiHidden="0" w:name="Medium Grid 3 Accent 1"/>
    <w:lsdException w:qFormat="1" w:unhideWhenUsed="0" w:uiPriority="99" w:semiHidden="0" w:name="Dark List Accent 1"/>
    <w:lsdException w:qFormat="1" w:unhideWhenUsed="0" w:uiPriority="99" w:semiHidden="0" w:name="Colorful Shading Accent 1"/>
    <w:lsdException w:qFormat="1" w:unhideWhenUsed="0" w:uiPriority="99" w:semiHidden="0" w:name="Colorful List Accent 1"/>
    <w:lsdException w:qFormat="1" w:unhideWhenUsed="0" w:uiPriority="99" w:semiHidden="0" w:name="Colorful Grid Accent 1"/>
    <w:lsdException w:qFormat="1" w:unhideWhenUsed="0" w:uiPriority="99" w:semiHidden="0" w:name="Light Shading Accent 2"/>
    <w:lsdException w:qFormat="1" w:unhideWhenUsed="0" w:uiPriority="99" w:semiHidden="0" w:name="Light List Accent 2"/>
    <w:lsdException w:qFormat="1" w:unhideWhenUsed="0" w:uiPriority="99" w:semiHidden="0" w:name="Light Grid Accent 2"/>
    <w:lsdException w:qFormat="1" w:unhideWhenUsed="0" w:uiPriority="99" w:semiHidden="0" w:name="Medium Shading 1 Accent 2"/>
    <w:lsdException w:qFormat="1" w:unhideWhenUsed="0" w:uiPriority="99" w:semiHidden="0" w:name="Medium Shading 2 Accent 2"/>
    <w:lsdException w:qFormat="1" w:unhideWhenUsed="0" w:uiPriority="99" w:semiHidden="0" w:name="Medium List 1 Accent 2"/>
    <w:lsdException w:qFormat="1" w:unhideWhenUsed="0" w:uiPriority="99" w:semiHidden="0" w:name="Medium List 2 Accent 2"/>
    <w:lsdException w:qFormat="1" w:unhideWhenUsed="0" w:uiPriority="99" w:semiHidden="0" w:name="Medium Grid 1 Accent 2"/>
    <w:lsdException w:qFormat="1" w:unhideWhenUsed="0" w:uiPriority="99" w:semiHidden="0" w:name="Medium Grid 2 Accent 2"/>
    <w:lsdException w:qFormat="1" w:unhideWhenUsed="0" w:uiPriority="99" w:semiHidden="0" w:name="Medium Grid 3 Accent 2"/>
    <w:lsdException w:qFormat="1" w:unhideWhenUsed="0" w:uiPriority="99" w:semiHidden="0" w:name="Dark List Accent 2"/>
    <w:lsdException w:qFormat="1" w:unhideWhenUsed="0" w:uiPriority="99" w:semiHidden="0" w:name="Colorful Shading Accent 2"/>
    <w:lsdException w:qFormat="1" w:unhideWhenUsed="0" w:uiPriority="99" w:semiHidden="0" w:name="Colorful List Accent 2"/>
    <w:lsdException w:qFormat="1" w:unhideWhenUsed="0" w:uiPriority="99" w:semiHidden="0" w:name="Colorful Grid Accent 2"/>
    <w:lsdException w:qFormat="1" w:unhideWhenUsed="0" w:uiPriority="99" w:semiHidden="0" w:name="Light Shading Accent 3"/>
    <w:lsdException w:qFormat="1" w:unhideWhenUsed="0" w:uiPriority="99" w:semiHidden="0" w:name="Light List Accent 3"/>
    <w:lsdException w:qFormat="1" w:unhideWhenUsed="0" w:uiPriority="99" w:semiHidden="0" w:name="Light Grid Accent 3"/>
    <w:lsdException w:qFormat="1" w:unhideWhenUsed="0" w:uiPriority="99" w:semiHidden="0" w:name="Medium Shading 1 Accent 3"/>
    <w:lsdException w:qFormat="1" w:unhideWhenUsed="0" w:uiPriority="99" w:semiHidden="0" w:name="Medium Shading 2 Accent 3"/>
    <w:lsdException w:qFormat="1" w:unhideWhenUsed="0" w:uiPriority="99" w:semiHidden="0" w:name="Medium List 1 Accent 3"/>
    <w:lsdException w:qFormat="1" w:unhideWhenUsed="0" w:uiPriority="99" w:semiHidden="0" w:name="Medium List 2 Accent 3"/>
    <w:lsdException w:qFormat="1" w:unhideWhenUsed="0" w:uiPriority="99" w:semiHidden="0" w:name="Medium Grid 1 Accent 3"/>
    <w:lsdException w:qFormat="1" w:unhideWhenUsed="0" w:uiPriority="99" w:semiHidden="0" w:name="Medium Grid 2 Accent 3"/>
    <w:lsdException w:qFormat="1" w:unhideWhenUsed="0" w:uiPriority="99" w:semiHidden="0" w:name="Medium Grid 3 Accent 3"/>
    <w:lsdException w:qFormat="1" w:unhideWhenUsed="0" w:uiPriority="99" w:semiHidden="0" w:name="Dark List Accent 3"/>
    <w:lsdException w:qFormat="1" w:unhideWhenUsed="0" w:uiPriority="99" w:semiHidden="0" w:name="Colorful Shading Accent 3"/>
    <w:lsdException w:qFormat="1" w:unhideWhenUsed="0" w:uiPriority="99" w:semiHidden="0" w:name="Colorful List Accent 3"/>
    <w:lsdException w:qFormat="1" w:unhideWhenUsed="0" w:uiPriority="99" w:semiHidden="0" w:name="Colorful Grid Accent 3"/>
    <w:lsdException w:qFormat="1" w:unhideWhenUsed="0" w:uiPriority="99" w:semiHidden="0" w:name="Light Shading Accent 4"/>
    <w:lsdException w:qFormat="1" w:unhideWhenUsed="0" w:uiPriority="99" w:semiHidden="0" w:name="Light List Accent 4"/>
    <w:lsdException w:qFormat="1" w:unhideWhenUsed="0" w:uiPriority="99" w:semiHidden="0" w:name="Light Grid Accent 4"/>
    <w:lsdException w:qFormat="1" w:unhideWhenUsed="0" w:uiPriority="99" w:semiHidden="0" w:name="Medium Shading 1 Accent 4"/>
    <w:lsdException w:qFormat="1" w:unhideWhenUsed="0" w:uiPriority="99" w:semiHidden="0" w:name="Medium Shading 2 Accent 4"/>
    <w:lsdException w:qFormat="1" w:unhideWhenUsed="0" w:uiPriority="99" w:semiHidden="0" w:name="Medium List 1 Accent 4"/>
    <w:lsdException w:qFormat="1" w:unhideWhenUsed="0" w:uiPriority="99" w:semiHidden="0" w:name="Medium List 2 Accent 4"/>
    <w:lsdException w:qFormat="1" w:unhideWhenUsed="0" w:uiPriority="99" w:semiHidden="0" w:name="Medium Grid 1 Accent 4"/>
    <w:lsdException w:qFormat="1" w:unhideWhenUsed="0" w:uiPriority="99" w:semiHidden="0" w:name="Medium Grid 2 Accent 4"/>
    <w:lsdException w:qFormat="1" w:unhideWhenUsed="0" w:uiPriority="99" w:semiHidden="0" w:name="Medium Grid 3 Accent 4"/>
    <w:lsdException w:qFormat="1" w:unhideWhenUsed="0" w:uiPriority="99" w:semiHidden="0" w:name="Dark List Accent 4"/>
    <w:lsdException w:qFormat="1" w:unhideWhenUsed="0" w:uiPriority="99" w:semiHidden="0" w:name="Colorful Shading Accent 4"/>
    <w:lsdException w:qFormat="1" w:unhideWhenUsed="0" w:uiPriority="99" w:semiHidden="0" w:name="Colorful List Accent 4"/>
    <w:lsdException w:qFormat="1" w:unhideWhenUsed="0" w:uiPriority="99" w:semiHidden="0" w:name="Colorful Grid Accent 4"/>
    <w:lsdException w:qFormat="1" w:unhideWhenUsed="0" w:uiPriority="99" w:semiHidden="0" w:name="Light Shading Accent 5"/>
    <w:lsdException w:qFormat="1" w:unhideWhenUsed="0" w:uiPriority="99" w:semiHidden="0" w:name="Light List Accent 5"/>
    <w:lsdException w:qFormat="1" w:unhideWhenUsed="0" w:uiPriority="99" w:semiHidden="0" w:name="Light Grid Accent 5"/>
    <w:lsdException w:qFormat="1" w:unhideWhenUsed="0" w:uiPriority="99" w:semiHidden="0" w:name="Medium Shading 1 Accent 5"/>
    <w:lsdException w:qFormat="1" w:unhideWhenUsed="0" w:uiPriority="99" w:semiHidden="0" w:name="Medium Shading 2 Accent 5"/>
    <w:lsdException w:qFormat="1" w:unhideWhenUsed="0" w:uiPriority="99" w:semiHidden="0" w:name="Medium List 1 Accent 5"/>
    <w:lsdException w:qFormat="1" w:unhideWhenUsed="0" w:uiPriority="99" w:semiHidden="0" w:name="Medium List 2 Accent 5"/>
    <w:lsdException w:qFormat="1" w:unhideWhenUsed="0" w:uiPriority="99" w:semiHidden="0" w:name="Medium Grid 1 Accent 5"/>
    <w:lsdException w:qFormat="1" w:unhideWhenUsed="0" w:uiPriority="99" w:semiHidden="0" w:name="Medium Grid 2 Accent 5"/>
    <w:lsdException w:qFormat="1" w:unhideWhenUsed="0" w:uiPriority="99" w:semiHidden="0" w:name="Medium Grid 3 Accent 5"/>
    <w:lsdException w:qFormat="1" w:unhideWhenUsed="0" w:uiPriority="99" w:semiHidden="0" w:name="Dark List Accent 5"/>
    <w:lsdException w:qFormat="1" w:unhideWhenUsed="0" w:uiPriority="99" w:semiHidden="0" w:name="Colorful Shading Accent 5"/>
    <w:lsdException w:qFormat="1" w:unhideWhenUsed="0" w:uiPriority="99" w:semiHidden="0" w:name="Colorful List Accent 5"/>
    <w:lsdException w:qFormat="1" w:unhideWhenUsed="0" w:uiPriority="99" w:semiHidden="0" w:name="Colorful Grid Accent 5"/>
    <w:lsdException w:qFormat="1" w:unhideWhenUsed="0" w:uiPriority="99" w:semiHidden="0" w:name="Light Shading Accent 6"/>
    <w:lsdException w:qFormat="1" w:unhideWhenUsed="0" w:uiPriority="99" w:semiHidden="0" w:name="Light List Accent 6"/>
    <w:lsdException w:qFormat="1" w:unhideWhenUsed="0" w:uiPriority="99" w:semiHidden="0" w:name="Light Grid Accent 6"/>
    <w:lsdException w:qFormat="1" w:unhideWhenUsed="0" w:uiPriority="99" w:semiHidden="0" w:name="Medium Shading 1 Accent 6"/>
    <w:lsdException w:qFormat="1" w:unhideWhenUsed="0" w:uiPriority="99" w:semiHidden="0" w:name="Medium Shading 2 Accent 6"/>
    <w:lsdException w:qFormat="1" w:unhideWhenUsed="0" w:uiPriority="99" w:semiHidden="0" w:name="Medium List 1 Accent 6"/>
    <w:lsdException w:qFormat="1" w:unhideWhenUsed="0" w:uiPriority="99" w:semiHidden="0" w:name="Medium List 2 Accent 6"/>
    <w:lsdException w:qFormat="1" w:unhideWhenUsed="0" w:uiPriority="99" w:semiHidden="0" w:name="Medium Grid 1 Accent 6"/>
    <w:lsdException w:qFormat="1" w:unhideWhenUsed="0" w:uiPriority="99" w:semiHidden="0" w:name="Medium Grid 2 Accent 6"/>
    <w:lsdException w:qFormat="1" w:unhideWhenUsed="0" w:uiPriority="99" w:semiHidden="0" w:name="Medium Grid 3 Accent 6"/>
    <w:lsdException w:qFormat="1" w:unhideWhenUsed="0" w:uiPriority="99" w:semiHidden="0" w:name="Dark List Accent 6"/>
    <w:lsdException w:qFormat="1" w:unhideWhenUsed="0" w:uiPriority="99" w:semiHidden="0" w:name="Colorful Shading Accent 6"/>
    <w:lsdException w:qFormat="1" w:unhideWhenUsed="0" w:uiPriority="99" w:semiHidden="0" w:name="Colorful List Accent 6"/>
    <w:lsdException w:qFormat="1" w:unhideWhenUsed="0" w:uiPriority="99" w:semiHidden="0" w:name="Colorful Grid Accent 6"/>
  </w:latentStyles>
  <w:style w:type="paragraph" w:default="1" w:styleId="1">
    <w:name w:val="Normal"/>
    <w:next w:val="2"/>
    <w:unhideWhenUsed/>
    <w:uiPriority w:val="99"/>
    <w:pPr>
      <w:widowControl w:val="0"/>
      <w:autoSpaceDE w:val="0"/>
      <w:autoSpaceDN w:val="0"/>
      <w:adjustRightInd w:val="0"/>
      <w:spacing w:beforeLines="0" w:afterLines="0"/>
    </w:pPr>
    <w:rPr>
      <w:rFonts w:hint="default"/>
      <w:sz w:val="24"/>
      <w:szCs w:val="24"/>
    </w:rPr>
  </w:style>
  <w:style w:type="paragraph" w:styleId="3">
    <w:name w:val="heading 1"/>
    <w:unhideWhenUsed/>
    <w:uiPriority w:val="99"/>
    <w:pPr>
      <w:widowControl w:val="0"/>
      <w:autoSpaceDE w:val="0"/>
      <w:autoSpaceDN w:val="0"/>
      <w:adjustRightInd w:val="0"/>
      <w:spacing w:beforeLines="0" w:afterLines="0"/>
      <w:outlineLvl w:val="0"/>
    </w:pPr>
    <w:rPr>
      <w:rFonts w:hint="default"/>
      <w:sz w:val="24"/>
      <w:szCs w:val="24"/>
    </w:rPr>
  </w:style>
  <w:style w:type="paragraph" w:styleId="4">
    <w:name w:val="heading 2"/>
    <w:unhideWhenUsed/>
    <w:uiPriority w:val="99"/>
    <w:pPr>
      <w:widowControl w:val="0"/>
      <w:autoSpaceDE w:val="0"/>
      <w:autoSpaceDN w:val="0"/>
      <w:adjustRightInd w:val="0"/>
      <w:spacing w:beforeLines="0" w:afterLines="0"/>
      <w:outlineLvl w:val="1"/>
    </w:pPr>
    <w:rPr>
      <w:rFonts w:hint="default"/>
      <w:sz w:val="24"/>
      <w:szCs w:val="24"/>
    </w:rPr>
  </w:style>
  <w:style w:type="character" w:default="1" w:styleId="8">
    <w:name w:val="Default Paragraph Font"/>
    <w:unhideWhenUsed/>
    <w:uiPriority w:val="99"/>
    <w:rPr>
      <w:rFonts w:hint="default"/>
      <w:sz w:val="24"/>
      <w:szCs w:val="24"/>
    </w:rPr>
  </w:style>
  <w:style w:type="table" w:default="1" w:styleId="7">
    <w:name w:val="Normal Table"/>
    <w:qFormat/>
    <w:uiPriority w:val="99"/>
    <w:tblPr>
      <w:tblStyle w:val="7"/>
      <w:tblCellMar>
        <w:top w:w="0" w:type="dxa"/>
        <w:left w:w="108" w:type="dxa"/>
        <w:bottom w:w="0" w:type="dxa"/>
        <w:right w:w="108" w:type="dxa"/>
      </w:tblCellMar>
    </w:tblPr>
  </w:style>
  <w:style w:type="paragraph" w:customStyle="1" w:styleId="2">
    <w:name w:val="BodyText"/>
    <w:basedOn w:val="1"/>
    <w:unhideWhenUsed/>
    <w:qFormat/>
    <w:uiPriority w:val="0"/>
    <w:pPr>
      <w:spacing w:beforeLines="0" w:after="120" w:afterLines="0"/>
    </w:pPr>
    <w:rPr>
      <w:rFonts w:hint="default"/>
      <w:sz w:val="24"/>
      <w:szCs w:val="24"/>
    </w:rPr>
  </w:style>
  <w:style w:type="paragraph" w:styleId="5">
    <w:name w:val="toc 1"/>
    <w:basedOn w:val="1"/>
    <w:next w:val="1"/>
    <w:qFormat/>
    <w:uiPriority w:val="99"/>
  </w:style>
  <w:style w:type="paragraph" w:styleId="6">
    <w:name w:val="toc 2"/>
    <w:basedOn w:val="1"/>
    <w:next w:val="1"/>
    <w:qFormat/>
    <w:uiPriority w:val="99"/>
    <w:pPr>
      <w:ind w:left="420" w:leftChars="200"/>
    </w:pPr>
  </w:style>
  <w:style w:type="paragraph" w:customStyle="1" w:styleId="9">
    <w:name w:val="Default"/>
    <w:unhideWhenUsed/>
    <w:qFormat/>
    <w:uiPriority w:val="99"/>
    <w:pPr>
      <w:widowControl w:val="0"/>
      <w:autoSpaceDE w:val="0"/>
      <w:autoSpaceDN w:val="0"/>
      <w:adjustRightInd w:val="0"/>
      <w:spacing w:beforeLines="0" w:afterLines="0"/>
    </w:pPr>
    <w:rPr>
      <w:rFonts w:hint="eastAsia" w:ascii="仿宋" w:hAnsi="Calibri" w:eastAsia="仿宋" w:cs="仿宋"/>
      <w:color w:val="000000"/>
      <w:sz w:val="24"/>
      <w:szCs w:val="24"/>
      <w:lang w:val="en-US" w:eastAsia="zh-CN" w:bidi="ar-SA"/>
    </w:rPr>
  </w:style>
  <w:style w:type="paragraph" w:customStyle="1" w:styleId="10">
    <w:name w:val="WPSOffice手动目录 1"/>
    <w:uiPriority w:val="0"/>
    <w:pPr>
      <w:ind w:leftChars="0"/>
    </w:pPr>
    <w:rPr>
      <w:sz w:val="20"/>
      <w:szCs w:val="20"/>
    </w:rPr>
  </w:style>
  <w:style w:type="paragraph" w:customStyle="1" w:styleId="11">
    <w:name w:val="WPSOffice手动目录 2"/>
    <w:uiPriority w:val="0"/>
    <w:pPr>
      <w:ind w:leftChars="200"/>
    </w:pPr>
    <w:rPr>
      <w:sz w:val="20"/>
      <w:szCs w:val="20"/>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3.bin"/><Relationship Id="rId8" Type="http://schemas.openxmlformats.org/officeDocument/2006/relationships/image" Target="media/image2.emf"/><Relationship Id="rId7" Type="http://schemas.openxmlformats.org/officeDocument/2006/relationships/oleObject" Target="embeddings/oleObject2.bin"/><Relationship Id="rId6" Type="http://schemas.openxmlformats.org/officeDocument/2006/relationships/image" Target="media/image1.emf"/><Relationship Id="rId5" Type="http://schemas.openxmlformats.org/officeDocument/2006/relationships/oleObject" Target="embeddings/oleObject1.bin"/><Relationship Id="rId4" Type="http://schemas.openxmlformats.org/officeDocument/2006/relationships/theme" Target="theme/theme1.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image" Target="media/image7.emf"/><Relationship Id="rId17" Type="http://schemas.openxmlformats.org/officeDocument/2006/relationships/oleObject" Target="embeddings/oleObject7.bin"/><Relationship Id="rId16" Type="http://schemas.openxmlformats.org/officeDocument/2006/relationships/image" Target="media/image6.emf"/><Relationship Id="rId15" Type="http://schemas.openxmlformats.org/officeDocument/2006/relationships/oleObject" Target="embeddings/oleObject6.bin"/><Relationship Id="rId14" Type="http://schemas.openxmlformats.org/officeDocument/2006/relationships/image" Target="media/image5.emf"/><Relationship Id="rId13" Type="http://schemas.openxmlformats.org/officeDocument/2006/relationships/oleObject" Target="embeddings/oleObject5.bin"/><Relationship Id="rId12" Type="http://schemas.openxmlformats.org/officeDocument/2006/relationships/image" Target="media/image4.emf"/><Relationship Id="rId11" Type="http://schemas.openxmlformats.org/officeDocument/2006/relationships/oleObject" Target="embeddings/oleObject4.bin"/><Relationship Id="rId10" Type="http://schemas.openxmlformats.org/officeDocument/2006/relationships/image" Target="media/image3.e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otalTime>2</TotalTime>
  <ScaleCrop>false</ScaleCrop>
  <LinksUpToDate>false</LinksUpToDate>
  <Application>WPS Office_12.1.0.15990_F1E327BC-269C-435d-A152-05C5408002CA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2023-11-21T03:29:11Z</dcterms:created>
  <dc:creator>Administrator</dc:creator>
  <cp:lastModifiedBy>HigherGang的cuz！</cp:lastModifiedBy>
  <dcterms:modified xsi:type="dcterms:W3CDTF">2023-12-19T03:35:08Z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55135DCCA4B44925AEE0A730E01EDEC0_13</vt:lpwstr>
  </property>
</Properties>
</file>